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F0" w:rsidRPr="005F5B02" w:rsidRDefault="001E7F16" w:rsidP="001E7F16">
      <w:pPr>
        <w:spacing w:line="360" w:lineRule="auto"/>
        <w:jc w:val="both"/>
        <w:rPr>
          <w:rFonts w:ascii="Arial" w:hAnsi="Arial" w:cs="Arial"/>
          <w:b/>
          <w:lang w:val="en-BZ"/>
        </w:rPr>
      </w:pPr>
      <w:r>
        <w:rPr>
          <w:rFonts w:ascii="Arial" w:hAnsi="Arial" w:cs="Arial"/>
          <w:b/>
          <w:lang w:val="en-BZ"/>
        </w:rPr>
        <w:t xml:space="preserve">The summary of results of the </w:t>
      </w:r>
      <w:r w:rsidR="00E6730B" w:rsidRPr="005F5B02">
        <w:rPr>
          <w:rFonts w:ascii="Arial" w:hAnsi="Arial" w:cs="Arial"/>
          <w:b/>
          <w:lang w:val="en-BZ"/>
        </w:rPr>
        <w:t>GAP analysis</w:t>
      </w:r>
    </w:p>
    <w:p w:rsidR="001D4EA5" w:rsidRDefault="00E6730B" w:rsidP="001E7F16">
      <w:pPr>
        <w:spacing w:line="360" w:lineRule="auto"/>
        <w:jc w:val="both"/>
        <w:rPr>
          <w:rFonts w:ascii="Arial" w:hAnsi="Arial" w:cs="Arial"/>
          <w:lang w:val="en-BZ"/>
        </w:rPr>
      </w:pPr>
      <w:r w:rsidRPr="009A720C">
        <w:rPr>
          <w:rFonts w:ascii="Arial" w:hAnsi="Arial" w:cs="Arial"/>
          <w:lang w:val="en-BZ"/>
        </w:rPr>
        <w:t>The questions have been prepared on the bas</w:t>
      </w:r>
      <w:r w:rsidR="00020995">
        <w:rPr>
          <w:rFonts w:ascii="Arial" w:hAnsi="Arial" w:cs="Arial"/>
          <w:lang w:val="en-BZ"/>
        </w:rPr>
        <w:t>is</w:t>
      </w:r>
      <w:r w:rsidRPr="009A720C">
        <w:rPr>
          <w:rFonts w:ascii="Arial" w:hAnsi="Arial" w:cs="Arial"/>
          <w:lang w:val="en-BZ"/>
        </w:rPr>
        <w:t xml:space="preserve"> of the documents</w:t>
      </w:r>
      <w:r w:rsidR="006E1C83" w:rsidRPr="009A720C">
        <w:rPr>
          <w:rFonts w:ascii="Arial" w:hAnsi="Arial" w:cs="Arial"/>
          <w:lang w:val="en-BZ"/>
        </w:rPr>
        <w:t xml:space="preserve"> „The European Charter for </w:t>
      </w:r>
      <w:proofErr w:type="spellStart"/>
      <w:proofErr w:type="gramStart"/>
      <w:r w:rsidR="006E1C83" w:rsidRPr="009A720C">
        <w:rPr>
          <w:rFonts w:ascii="Arial" w:hAnsi="Arial" w:cs="Arial"/>
          <w:lang w:val="en-BZ"/>
        </w:rPr>
        <w:t>Researchers“</w:t>
      </w:r>
      <w:proofErr w:type="gramEnd"/>
      <w:r w:rsidR="006E1C83" w:rsidRPr="009A720C">
        <w:rPr>
          <w:rFonts w:ascii="Arial" w:hAnsi="Arial" w:cs="Arial"/>
          <w:lang w:val="en-BZ"/>
        </w:rPr>
        <w:t>a</w:t>
      </w:r>
      <w:r w:rsidRPr="009A720C">
        <w:rPr>
          <w:rFonts w:ascii="Arial" w:hAnsi="Arial" w:cs="Arial"/>
          <w:lang w:val="en-BZ"/>
        </w:rPr>
        <w:t>nd</w:t>
      </w:r>
      <w:proofErr w:type="spellEnd"/>
      <w:r w:rsidR="006E1C83" w:rsidRPr="009A720C">
        <w:rPr>
          <w:rFonts w:ascii="Arial" w:hAnsi="Arial" w:cs="Arial"/>
          <w:lang w:val="en-BZ"/>
        </w:rPr>
        <w:t xml:space="preserve"> „The Code of Conduct for the Recruitment of Researchers“ (40 </w:t>
      </w:r>
      <w:r w:rsidRPr="009A720C">
        <w:rPr>
          <w:rFonts w:ascii="Arial" w:hAnsi="Arial" w:cs="Arial"/>
          <w:lang w:val="en-BZ"/>
        </w:rPr>
        <w:t>chapters of these documents</w:t>
      </w:r>
      <w:r w:rsidR="00DE2807">
        <w:rPr>
          <w:rFonts w:ascii="Arial" w:hAnsi="Arial" w:cs="Arial"/>
          <w:lang w:val="en-BZ"/>
        </w:rPr>
        <w:t>, Annex 1</w:t>
      </w:r>
      <w:r w:rsidR="006E1C83" w:rsidRPr="009A720C">
        <w:rPr>
          <w:rFonts w:ascii="Arial" w:hAnsi="Arial" w:cs="Arial"/>
          <w:lang w:val="en-BZ"/>
        </w:rPr>
        <w:t xml:space="preserve">). </w:t>
      </w:r>
      <w:r w:rsidRPr="009A720C">
        <w:rPr>
          <w:rFonts w:ascii="Arial" w:hAnsi="Arial" w:cs="Arial"/>
          <w:lang w:val="en-BZ"/>
        </w:rPr>
        <w:t xml:space="preserve">The list of questions </w:t>
      </w:r>
      <w:r w:rsidR="001D4EA5">
        <w:rPr>
          <w:rFonts w:ascii="Arial" w:hAnsi="Arial" w:cs="Arial"/>
          <w:lang w:val="en-BZ"/>
        </w:rPr>
        <w:t>is</w:t>
      </w:r>
      <w:r w:rsidRPr="009A720C">
        <w:rPr>
          <w:rFonts w:ascii="Arial" w:hAnsi="Arial" w:cs="Arial"/>
          <w:lang w:val="en-BZ"/>
        </w:rPr>
        <w:t xml:space="preserve"> attached in Annex 2 with their numbers and number of </w:t>
      </w:r>
      <w:r w:rsidR="009B0FFD" w:rsidRPr="009A720C">
        <w:rPr>
          <w:rFonts w:ascii="Arial" w:hAnsi="Arial" w:cs="Arial"/>
          <w:lang w:val="en-BZ"/>
        </w:rPr>
        <w:t>chapter</w:t>
      </w:r>
      <w:r w:rsidR="00020995">
        <w:rPr>
          <w:rFonts w:ascii="Arial" w:hAnsi="Arial" w:cs="Arial"/>
          <w:lang w:val="en-BZ"/>
        </w:rPr>
        <w:t>s</w:t>
      </w:r>
      <w:r w:rsidRPr="009A720C">
        <w:rPr>
          <w:rFonts w:ascii="Arial" w:hAnsi="Arial" w:cs="Arial"/>
          <w:lang w:val="en-BZ"/>
        </w:rPr>
        <w:t xml:space="preserve"> </w:t>
      </w:r>
      <w:r w:rsidR="009B0FFD">
        <w:rPr>
          <w:rFonts w:ascii="Arial" w:hAnsi="Arial" w:cs="Arial"/>
          <w:lang w:val="en-BZ"/>
        </w:rPr>
        <w:t xml:space="preserve">relevant to </w:t>
      </w:r>
      <w:r w:rsidRPr="009A720C">
        <w:rPr>
          <w:rFonts w:ascii="Arial" w:hAnsi="Arial" w:cs="Arial"/>
          <w:lang w:val="en-BZ"/>
        </w:rPr>
        <w:t xml:space="preserve">the EU Charter to which the question is related. The list of questions </w:t>
      </w:r>
      <w:r w:rsidR="004D520F" w:rsidRPr="009A720C">
        <w:rPr>
          <w:rFonts w:ascii="Arial" w:hAnsi="Arial" w:cs="Arial"/>
          <w:lang w:val="en-BZ"/>
        </w:rPr>
        <w:t>has</w:t>
      </w:r>
      <w:r w:rsidRPr="009A720C">
        <w:rPr>
          <w:rFonts w:ascii="Arial" w:hAnsi="Arial" w:cs="Arial"/>
          <w:lang w:val="en-BZ"/>
        </w:rPr>
        <w:t xml:space="preserve"> been supplied with </w:t>
      </w:r>
      <w:r w:rsidR="00020995">
        <w:rPr>
          <w:rFonts w:ascii="Arial" w:hAnsi="Arial" w:cs="Arial"/>
          <w:lang w:val="en-BZ"/>
        </w:rPr>
        <w:t>ten</w:t>
      </w:r>
      <w:r w:rsidRPr="009A720C">
        <w:rPr>
          <w:rFonts w:ascii="Arial" w:hAnsi="Arial" w:cs="Arial"/>
          <w:lang w:val="en-BZ"/>
        </w:rPr>
        <w:t xml:space="preserve"> additional questions not related to the EU Charter directly (A1-</w:t>
      </w:r>
      <w:proofErr w:type="spellStart"/>
      <w:r w:rsidRPr="009A720C">
        <w:rPr>
          <w:rFonts w:ascii="Arial" w:hAnsi="Arial" w:cs="Arial"/>
          <w:lang w:val="en-BZ"/>
        </w:rPr>
        <w:t>A10</w:t>
      </w:r>
      <w:proofErr w:type="spellEnd"/>
      <w:r w:rsidRPr="009A720C">
        <w:rPr>
          <w:rFonts w:ascii="Arial" w:hAnsi="Arial" w:cs="Arial"/>
          <w:lang w:val="en-BZ"/>
        </w:rPr>
        <w:t>)</w:t>
      </w:r>
      <w:r w:rsidR="009B0FFD">
        <w:rPr>
          <w:rFonts w:ascii="Arial" w:hAnsi="Arial" w:cs="Arial"/>
          <w:lang w:val="en-BZ"/>
        </w:rPr>
        <w:t>, but these questions arise from demands of the Institute</w:t>
      </w:r>
      <w:r w:rsidR="00A03447">
        <w:rPr>
          <w:rFonts w:ascii="Arial" w:hAnsi="Arial" w:cs="Arial"/>
          <w:lang w:val="en-BZ"/>
        </w:rPr>
        <w:t xml:space="preserve"> (IBP)</w:t>
      </w:r>
      <w:r w:rsidR="009B0FFD">
        <w:rPr>
          <w:rFonts w:ascii="Arial" w:hAnsi="Arial" w:cs="Arial"/>
          <w:lang w:val="en-BZ"/>
        </w:rPr>
        <w:t xml:space="preserve">, and </w:t>
      </w:r>
      <w:r w:rsidRPr="009A720C">
        <w:rPr>
          <w:rFonts w:ascii="Arial" w:hAnsi="Arial" w:cs="Arial"/>
          <w:lang w:val="en-BZ"/>
        </w:rPr>
        <w:t xml:space="preserve">could be potentially important for </w:t>
      </w:r>
      <w:r w:rsidR="00EB4F6D" w:rsidRPr="009A720C">
        <w:rPr>
          <w:rFonts w:ascii="Arial" w:hAnsi="Arial" w:cs="Arial"/>
          <w:lang w:val="en-BZ"/>
        </w:rPr>
        <w:t>HR Award (</w:t>
      </w:r>
      <w:r w:rsidR="00DE2807">
        <w:rPr>
          <w:rFonts w:ascii="Arial" w:hAnsi="Arial" w:cs="Arial"/>
          <w:lang w:val="en-BZ"/>
        </w:rPr>
        <w:t xml:space="preserve">Annex 2, </w:t>
      </w:r>
      <w:r w:rsidR="00A45EEA">
        <w:rPr>
          <w:rFonts w:ascii="Arial" w:hAnsi="Arial" w:cs="Arial"/>
          <w:lang w:val="en-BZ"/>
        </w:rPr>
        <w:t xml:space="preserve">see </w:t>
      </w:r>
      <w:r w:rsidR="00DE2807">
        <w:rPr>
          <w:rFonts w:ascii="Arial" w:hAnsi="Arial" w:cs="Arial"/>
          <w:lang w:val="en-BZ"/>
        </w:rPr>
        <w:t>other questions</w:t>
      </w:r>
      <w:r w:rsidR="00EB4F6D" w:rsidRPr="009A720C">
        <w:rPr>
          <w:rFonts w:ascii="Arial" w:hAnsi="Arial" w:cs="Arial"/>
          <w:lang w:val="en-BZ"/>
        </w:rPr>
        <w:t>)</w:t>
      </w:r>
      <w:r w:rsidR="006E1C83" w:rsidRPr="009A720C">
        <w:rPr>
          <w:rFonts w:ascii="Arial" w:hAnsi="Arial" w:cs="Arial"/>
          <w:lang w:val="en-BZ"/>
        </w:rPr>
        <w:t xml:space="preserve">. </w:t>
      </w:r>
      <w:r w:rsidR="00EB4F6D" w:rsidRPr="009A720C">
        <w:rPr>
          <w:rFonts w:ascii="Arial" w:hAnsi="Arial" w:cs="Arial"/>
          <w:lang w:val="en-BZ"/>
        </w:rPr>
        <w:t xml:space="preserve">The </w:t>
      </w:r>
      <w:r w:rsidR="009A720C" w:rsidRPr="009A720C">
        <w:rPr>
          <w:rFonts w:ascii="Arial" w:hAnsi="Arial" w:cs="Arial"/>
          <w:lang w:val="en-BZ"/>
        </w:rPr>
        <w:t>questionnaires</w:t>
      </w:r>
      <w:r w:rsidR="00EB4F6D" w:rsidRPr="009A720C">
        <w:rPr>
          <w:rFonts w:ascii="Arial" w:hAnsi="Arial" w:cs="Arial"/>
          <w:lang w:val="en-BZ"/>
        </w:rPr>
        <w:t xml:space="preserve"> were anonymous</w:t>
      </w:r>
      <w:r w:rsidR="00020995">
        <w:rPr>
          <w:rFonts w:ascii="Arial" w:hAnsi="Arial" w:cs="Arial"/>
          <w:lang w:val="en-BZ"/>
        </w:rPr>
        <w:t>,</w:t>
      </w:r>
      <w:r w:rsidR="00EB4F6D" w:rsidRPr="009A720C">
        <w:rPr>
          <w:rFonts w:ascii="Arial" w:hAnsi="Arial" w:cs="Arial"/>
          <w:lang w:val="en-BZ"/>
        </w:rPr>
        <w:t xml:space="preserve"> but they contained information on the </w:t>
      </w:r>
      <w:r w:rsidR="001D4EA5">
        <w:rPr>
          <w:rFonts w:ascii="Arial" w:hAnsi="Arial" w:cs="Arial"/>
          <w:lang w:val="en-BZ"/>
        </w:rPr>
        <w:t>career stages</w:t>
      </w:r>
      <w:r w:rsidR="00EB4F6D" w:rsidRPr="009A720C">
        <w:rPr>
          <w:rFonts w:ascii="Arial" w:hAnsi="Arial" w:cs="Arial"/>
          <w:lang w:val="en-BZ"/>
        </w:rPr>
        <w:t xml:space="preserve"> </w:t>
      </w:r>
      <w:r w:rsidR="006E1C83" w:rsidRPr="009A720C">
        <w:rPr>
          <w:rFonts w:ascii="Arial" w:hAnsi="Arial" w:cs="Arial"/>
          <w:lang w:val="en-BZ"/>
        </w:rPr>
        <w:t>(</w:t>
      </w:r>
      <w:r w:rsidR="00EB4F6D" w:rsidRPr="009A720C">
        <w:rPr>
          <w:rFonts w:ascii="Arial" w:hAnsi="Arial" w:cs="Arial"/>
          <w:lang w:val="en-BZ"/>
        </w:rPr>
        <w:t xml:space="preserve">from laboratory </w:t>
      </w:r>
      <w:r w:rsidR="00A03447">
        <w:rPr>
          <w:rFonts w:ascii="Arial" w:hAnsi="Arial" w:cs="Arial"/>
          <w:lang w:val="en-BZ"/>
        </w:rPr>
        <w:t xml:space="preserve">staff </w:t>
      </w:r>
      <w:r w:rsidR="00EB4F6D" w:rsidRPr="009A720C">
        <w:rPr>
          <w:rFonts w:ascii="Arial" w:hAnsi="Arial" w:cs="Arial"/>
          <w:lang w:val="en-BZ"/>
        </w:rPr>
        <w:t xml:space="preserve">up to department leaders and technical </w:t>
      </w:r>
      <w:r w:rsidR="009A720C" w:rsidRPr="009A720C">
        <w:rPr>
          <w:rFonts w:ascii="Arial" w:hAnsi="Arial" w:cs="Arial"/>
          <w:lang w:val="en-BZ"/>
        </w:rPr>
        <w:t>personnel</w:t>
      </w:r>
      <w:r w:rsidR="006E1C83" w:rsidRPr="009A720C">
        <w:rPr>
          <w:rFonts w:ascii="Arial" w:hAnsi="Arial" w:cs="Arial"/>
          <w:lang w:val="en-BZ"/>
        </w:rPr>
        <w:t xml:space="preserve"> – </w:t>
      </w:r>
      <w:r w:rsidR="00EB4F6D" w:rsidRPr="009A720C">
        <w:rPr>
          <w:rFonts w:ascii="Arial" w:hAnsi="Arial" w:cs="Arial"/>
          <w:lang w:val="en-BZ"/>
        </w:rPr>
        <w:t xml:space="preserve">the list is attached in Annex </w:t>
      </w:r>
      <w:r w:rsidR="00DE2807">
        <w:rPr>
          <w:rFonts w:ascii="Arial" w:hAnsi="Arial" w:cs="Arial"/>
          <w:lang w:val="en-BZ"/>
        </w:rPr>
        <w:t>3</w:t>
      </w:r>
      <w:r w:rsidR="00EB4F6D" w:rsidRPr="009A720C">
        <w:rPr>
          <w:rFonts w:ascii="Arial" w:hAnsi="Arial" w:cs="Arial"/>
          <w:lang w:val="en-BZ"/>
        </w:rPr>
        <w:t xml:space="preserve"> and related to EU categories R1-R4</w:t>
      </w:r>
      <w:r w:rsidR="001D4EA5">
        <w:rPr>
          <w:rFonts w:ascii="Arial" w:hAnsi="Arial" w:cs="Arial"/>
          <w:lang w:val="en-BZ"/>
        </w:rPr>
        <w:t>)</w:t>
      </w:r>
      <w:r w:rsidR="00EB4F6D" w:rsidRPr="009A720C">
        <w:rPr>
          <w:rFonts w:ascii="Arial" w:hAnsi="Arial" w:cs="Arial"/>
          <w:lang w:val="en-BZ"/>
        </w:rPr>
        <w:t>.</w:t>
      </w:r>
      <w:r w:rsidR="006E1C83" w:rsidRPr="009A720C">
        <w:rPr>
          <w:rFonts w:ascii="Arial" w:hAnsi="Arial" w:cs="Arial"/>
          <w:lang w:val="en-BZ"/>
        </w:rPr>
        <w:t xml:space="preserve"> </w:t>
      </w:r>
    </w:p>
    <w:p w:rsidR="006E1C83" w:rsidRPr="009A720C" w:rsidRDefault="00EB4F6D" w:rsidP="001E7F16">
      <w:pPr>
        <w:spacing w:line="360" w:lineRule="auto"/>
        <w:jc w:val="both"/>
        <w:rPr>
          <w:rFonts w:ascii="Arial" w:hAnsi="Arial" w:cs="Arial"/>
          <w:lang w:val="en-BZ"/>
        </w:rPr>
      </w:pPr>
      <w:r w:rsidRPr="009A720C">
        <w:rPr>
          <w:rFonts w:ascii="Arial" w:hAnsi="Arial" w:cs="Arial"/>
          <w:lang w:val="en-BZ"/>
        </w:rPr>
        <w:t>Answers to the questions were</w:t>
      </w:r>
      <w:r w:rsidR="006E1C83" w:rsidRPr="009A720C">
        <w:rPr>
          <w:rFonts w:ascii="Arial" w:hAnsi="Arial" w:cs="Arial"/>
          <w:lang w:val="en-BZ"/>
        </w:rPr>
        <w:t xml:space="preserve"> 1 </w:t>
      </w:r>
      <w:r w:rsidR="00A03447">
        <w:rPr>
          <w:rFonts w:ascii="Arial" w:hAnsi="Arial" w:cs="Arial"/>
          <w:lang w:val="en-BZ"/>
        </w:rPr>
        <w:t>-</w:t>
      </w:r>
      <w:r w:rsidR="006E1C83" w:rsidRPr="009A720C">
        <w:rPr>
          <w:rFonts w:ascii="Arial" w:hAnsi="Arial" w:cs="Arial"/>
          <w:lang w:val="en-BZ"/>
        </w:rPr>
        <w:t xml:space="preserve"> </w:t>
      </w:r>
      <w:r w:rsidRPr="009A720C">
        <w:rPr>
          <w:rFonts w:ascii="Arial" w:hAnsi="Arial" w:cs="Arial"/>
          <w:lang w:val="en-BZ"/>
        </w:rPr>
        <w:t>yes</w:t>
      </w:r>
      <w:r w:rsidR="006E1C83" w:rsidRPr="009A720C">
        <w:rPr>
          <w:rFonts w:ascii="Arial" w:hAnsi="Arial" w:cs="Arial"/>
          <w:lang w:val="en-BZ"/>
        </w:rPr>
        <w:t>, 2- neutr</w:t>
      </w:r>
      <w:r w:rsidRPr="009A720C">
        <w:rPr>
          <w:rFonts w:ascii="Arial" w:hAnsi="Arial" w:cs="Arial"/>
          <w:lang w:val="en-BZ"/>
        </w:rPr>
        <w:t>al opinion</w:t>
      </w:r>
      <w:r w:rsidR="006E1C83" w:rsidRPr="009A720C">
        <w:rPr>
          <w:rFonts w:ascii="Arial" w:hAnsi="Arial" w:cs="Arial"/>
          <w:lang w:val="en-BZ"/>
        </w:rPr>
        <w:t xml:space="preserve">, 3 </w:t>
      </w:r>
      <w:r w:rsidR="00A03447">
        <w:rPr>
          <w:rFonts w:ascii="Arial" w:hAnsi="Arial" w:cs="Arial"/>
          <w:lang w:val="en-BZ"/>
        </w:rPr>
        <w:t>-</w:t>
      </w:r>
      <w:r w:rsidR="006E1C83" w:rsidRPr="009A720C">
        <w:rPr>
          <w:rFonts w:ascii="Arial" w:hAnsi="Arial" w:cs="Arial"/>
          <w:lang w:val="en-BZ"/>
        </w:rPr>
        <w:t xml:space="preserve"> </w:t>
      </w:r>
      <w:r w:rsidRPr="009A720C">
        <w:rPr>
          <w:rFonts w:ascii="Arial" w:hAnsi="Arial" w:cs="Arial"/>
          <w:lang w:val="en-BZ"/>
        </w:rPr>
        <w:t xml:space="preserve">I am not sure or not </w:t>
      </w:r>
      <w:r w:rsidR="009A720C" w:rsidRPr="009A720C">
        <w:rPr>
          <w:rFonts w:ascii="Arial" w:hAnsi="Arial" w:cs="Arial"/>
          <w:lang w:val="en-BZ"/>
        </w:rPr>
        <w:t>informed</w:t>
      </w:r>
      <w:r w:rsidRPr="009A720C">
        <w:rPr>
          <w:rFonts w:ascii="Arial" w:hAnsi="Arial" w:cs="Arial"/>
          <w:lang w:val="en-BZ"/>
        </w:rPr>
        <w:t>,</w:t>
      </w:r>
      <w:r w:rsidR="006E1C83" w:rsidRPr="009A720C">
        <w:rPr>
          <w:rFonts w:ascii="Arial" w:hAnsi="Arial" w:cs="Arial"/>
          <w:lang w:val="en-BZ"/>
        </w:rPr>
        <w:t xml:space="preserve"> 4 </w:t>
      </w:r>
      <w:r w:rsidR="00A03447">
        <w:rPr>
          <w:rFonts w:ascii="Arial" w:hAnsi="Arial" w:cs="Arial"/>
          <w:lang w:val="en-BZ"/>
        </w:rPr>
        <w:t>-</w:t>
      </w:r>
      <w:r w:rsidR="006E1C83" w:rsidRPr="009A720C">
        <w:rPr>
          <w:rFonts w:ascii="Arial" w:hAnsi="Arial" w:cs="Arial"/>
          <w:lang w:val="en-BZ"/>
        </w:rPr>
        <w:t xml:space="preserve"> </w:t>
      </w:r>
      <w:r w:rsidRPr="009A720C">
        <w:rPr>
          <w:rFonts w:ascii="Arial" w:hAnsi="Arial" w:cs="Arial"/>
          <w:lang w:val="en-BZ"/>
        </w:rPr>
        <w:t>the question does not relate to me</w:t>
      </w:r>
      <w:r w:rsidR="0022152A" w:rsidRPr="009A720C">
        <w:rPr>
          <w:rFonts w:ascii="Arial" w:hAnsi="Arial" w:cs="Arial"/>
          <w:lang w:val="en-BZ"/>
        </w:rPr>
        <w:t>.</w:t>
      </w:r>
    </w:p>
    <w:p w:rsidR="0017237E" w:rsidRPr="009A720C" w:rsidRDefault="00EB4F6D" w:rsidP="00A03447">
      <w:pPr>
        <w:spacing w:line="360" w:lineRule="auto"/>
        <w:jc w:val="both"/>
        <w:rPr>
          <w:rFonts w:ascii="Arial" w:hAnsi="Arial" w:cs="Arial"/>
          <w:lang w:val="en-BZ"/>
        </w:rPr>
      </w:pPr>
      <w:r w:rsidRPr="009A720C">
        <w:rPr>
          <w:rFonts w:ascii="Arial" w:hAnsi="Arial" w:cs="Arial"/>
          <w:lang w:val="en-BZ"/>
        </w:rPr>
        <w:t xml:space="preserve">The analysis consisted </w:t>
      </w:r>
      <w:r w:rsidR="00020995">
        <w:rPr>
          <w:rFonts w:ascii="Arial" w:hAnsi="Arial" w:cs="Arial"/>
          <w:lang w:val="en-BZ"/>
        </w:rPr>
        <w:t>of</w:t>
      </w:r>
      <w:r w:rsidRPr="009A720C">
        <w:rPr>
          <w:rFonts w:ascii="Arial" w:hAnsi="Arial" w:cs="Arial"/>
          <w:lang w:val="en-BZ"/>
        </w:rPr>
        <w:t xml:space="preserve"> the determination of the number of answers (n) and the number of</w:t>
      </w:r>
      <w:r w:rsidR="001D4EA5">
        <w:rPr>
          <w:rFonts w:ascii="Arial" w:hAnsi="Arial" w:cs="Arial"/>
          <w:lang w:val="en-BZ"/>
        </w:rPr>
        <w:t xml:space="preserve"> positive</w:t>
      </w:r>
      <w:r w:rsidRPr="009A720C">
        <w:rPr>
          <w:rFonts w:ascii="Arial" w:hAnsi="Arial" w:cs="Arial"/>
          <w:lang w:val="en-BZ"/>
        </w:rPr>
        <w:t xml:space="preserve"> answers „</w:t>
      </w:r>
      <w:proofErr w:type="gramStart"/>
      <w:r w:rsidRPr="009A720C">
        <w:rPr>
          <w:rFonts w:ascii="Arial" w:hAnsi="Arial" w:cs="Arial"/>
          <w:lang w:val="en-BZ"/>
        </w:rPr>
        <w:t>yes“ (</w:t>
      </w:r>
      <w:proofErr w:type="gramEnd"/>
      <w:r w:rsidRPr="009A720C">
        <w:rPr>
          <w:rFonts w:ascii="Arial" w:hAnsi="Arial" w:cs="Arial"/>
          <w:lang w:val="en-BZ"/>
        </w:rPr>
        <w:t>a)</w:t>
      </w:r>
      <w:r w:rsidR="008A6EFD" w:rsidRPr="009A720C">
        <w:rPr>
          <w:rFonts w:ascii="Arial" w:hAnsi="Arial" w:cs="Arial"/>
          <w:lang w:val="en-BZ"/>
        </w:rPr>
        <w:t>, see Table 1</w:t>
      </w:r>
      <w:r w:rsidRPr="009A720C">
        <w:rPr>
          <w:rFonts w:ascii="Arial" w:hAnsi="Arial" w:cs="Arial"/>
          <w:lang w:val="en-BZ"/>
        </w:rPr>
        <w:t>.</w:t>
      </w:r>
      <w:r w:rsidR="0022152A" w:rsidRPr="009A720C">
        <w:rPr>
          <w:rFonts w:ascii="Arial" w:hAnsi="Arial" w:cs="Arial"/>
          <w:lang w:val="en-BZ"/>
        </w:rPr>
        <w:t xml:space="preserve"> </w:t>
      </w:r>
      <w:r w:rsidRPr="009A720C">
        <w:rPr>
          <w:rFonts w:ascii="Arial" w:hAnsi="Arial" w:cs="Arial"/>
          <w:lang w:val="en-BZ"/>
        </w:rPr>
        <w:t xml:space="preserve">The ratio </w:t>
      </w:r>
      <w:r w:rsidR="0022152A" w:rsidRPr="009A720C">
        <w:rPr>
          <w:rFonts w:ascii="Arial" w:hAnsi="Arial" w:cs="Arial"/>
          <w:lang w:val="en-BZ"/>
        </w:rPr>
        <w:t xml:space="preserve">a/n </w:t>
      </w:r>
      <w:r w:rsidRPr="009A720C">
        <w:rPr>
          <w:rFonts w:ascii="Arial" w:hAnsi="Arial" w:cs="Arial"/>
          <w:lang w:val="en-BZ"/>
        </w:rPr>
        <w:t xml:space="preserve">was determined for individual </w:t>
      </w:r>
      <w:r w:rsidR="002E0B5B">
        <w:rPr>
          <w:rFonts w:ascii="Arial" w:hAnsi="Arial" w:cs="Arial"/>
          <w:lang w:val="en-BZ"/>
        </w:rPr>
        <w:t>career stages</w:t>
      </w:r>
      <w:r w:rsidRPr="009A720C">
        <w:rPr>
          <w:rFonts w:ascii="Arial" w:hAnsi="Arial" w:cs="Arial"/>
          <w:lang w:val="en-BZ"/>
        </w:rPr>
        <w:t xml:space="preserve"> as well as for the whole IBP </w:t>
      </w:r>
      <w:r w:rsidR="00657CC8" w:rsidRPr="009A720C">
        <w:rPr>
          <w:rFonts w:ascii="Arial" w:hAnsi="Arial" w:cs="Arial"/>
          <w:lang w:val="en-BZ"/>
        </w:rPr>
        <w:t>(oran</w:t>
      </w:r>
      <w:r w:rsidRPr="009A720C">
        <w:rPr>
          <w:rFonts w:ascii="Arial" w:hAnsi="Arial" w:cs="Arial"/>
          <w:lang w:val="en-BZ"/>
        </w:rPr>
        <w:t xml:space="preserve">ge </w:t>
      </w:r>
      <w:proofErr w:type="spellStart"/>
      <w:r w:rsidRPr="009A720C">
        <w:rPr>
          <w:rFonts w:ascii="Arial" w:hAnsi="Arial" w:cs="Arial"/>
          <w:lang w:val="en-BZ"/>
        </w:rPr>
        <w:t>color</w:t>
      </w:r>
      <w:proofErr w:type="spellEnd"/>
      <w:r w:rsidRPr="009A720C">
        <w:rPr>
          <w:rFonts w:ascii="Arial" w:hAnsi="Arial" w:cs="Arial"/>
          <w:lang w:val="en-BZ"/>
        </w:rPr>
        <w:t xml:space="preserve"> in the </w:t>
      </w:r>
      <w:r w:rsidR="00A03447">
        <w:rPr>
          <w:rFonts w:ascii="Arial" w:hAnsi="Arial" w:cs="Arial"/>
          <w:lang w:val="en-BZ"/>
        </w:rPr>
        <w:t>T</w:t>
      </w:r>
      <w:r w:rsidRPr="009A720C">
        <w:rPr>
          <w:rFonts w:ascii="Arial" w:hAnsi="Arial" w:cs="Arial"/>
          <w:lang w:val="en-BZ"/>
        </w:rPr>
        <w:t>able</w:t>
      </w:r>
      <w:r w:rsidR="00657CC8" w:rsidRPr="009A720C">
        <w:rPr>
          <w:rFonts w:ascii="Arial" w:hAnsi="Arial" w:cs="Arial"/>
          <w:lang w:val="en-BZ"/>
        </w:rPr>
        <w:t>)</w:t>
      </w:r>
      <w:r w:rsidR="0022152A" w:rsidRPr="009A720C">
        <w:rPr>
          <w:rFonts w:ascii="Arial" w:hAnsi="Arial" w:cs="Arial"/>
          <w:lang w:val="en-BZ"/>
        </w:rPr>
        <w:t>.</w:t>
      </w:r>
      <w:r w:rsidRPr="009A720C">
        <w:rPr>
          <w:rFonts w:ascii="Arial" w:hAnsi="Arial" w:cs="Arial"/>
          <w:lang w:val="en-BZ"/>
        </w:rPr>
        <w:t xml:space="preserve"> The questions are listed according to their average value for the whole institute. </w:t>
      </w:r>
      <w:r w:rsidR="008A6EFD" w:rsidRPr="009A720C">
        <w:rPr>
          <w:rFonts w:ascii="Arial" w:hAnsi="Arial" w:cs="Arial"/>
          <w:lang w:val="en-BZ"/>
        </w:rPr>
        <w:t xml:space="preserve">The questions with largely positive answers are shown in green </w:t>
      </w:r>
      <w:proofErr w:type="spellStart"/>
      <w:r w:rsidR="008A6EFD" w:rsidRPr="009A720C">
        <w:rPr>
          <w:rFonts w:ascii="Arial" w:hAnsi="Arial" w:cs="Arial"/>
          <w:lang w:val="en-BZ"/>
        </w:rPr>
        <w:t>color</w:t>
      </w:r>
      <w:proofErr w:type="spellEnd"/>
      <w:r w:rsidR="008A6EFD" w:rsidRPr="009A720C">
        <w:rPr>
          <w:rFonts w:ascii="Arial" w:hAnsi="Arial" w:cs="Arial"/>
          <w:lang w:val="en-BZ"/>
        </w:rPr>
        <w:t xml:space="preserve">, the other in red </w:t>
      </w:r>
      <w:proofErr w:type="spellStart"/>
      <w:r w:rsidR="008A6EFD" w:rsidRPr="009A720C">
        <w:rPr>
          <w:rFonts w:ascii="Arial" w:hAnsi="Arial" w:cs="Arial"/>
          <w:lang w:val="en-BZ"/>
        </w:rPr>
        <w:t>color</w:t>
      </w:r>
      <w:proofErr w:type="spellEnd"/>
      <w:r w:rsidR="008A6EFD" w:rsidRPr="009A720C">
        <w:rPr>
          <w:rFonts w:ascii="Arial" w:hAnsi="Arial" w:cs="Arial"/>
          <w:lang w:val="en-BZ"/>
        </w:rPr>
        <w:t xml:space="preserve">. We have compared individual </w:t>
      </w:r>
      <w:r w:rsidR="002E0B5B">
        <w:rPr>
          <w:rFonts w:ascii="Arial" w:hAnsi="Arial" w:cs="Arial"/>
          <w:lang w:val="en-BZ"/>
        </w:rPr>
        <w:t>career stages</w:t>
      </w:r>
      <w:r w:rsidR="008A6EFD" w:rsidRPr="009A720C">
        <w:rPr>
          <w:rFonts w:ascii="Arial" w:hAnsi="Arial" w:cs="Arial"/>
          <w:lang w:val="en-BZ"/>
        </w:rPr>
        <w:t xml:space="preserve"> </w:t>
      </w:r>
      <w:r w:rsidR="008C7D26" w:rsidRPr="009A720C">
        <w:rPr>
          <w:rFonts w:ascii="Arial" w:hAnsi="Arial" w:cs="Arial"/>
          <w:lang w:val="en-BZ"/>
        </w:rPr>
        <w:t>using column plots (Fig. 1) where you can see some examples. In some cases</w:t>
      </w:r>
      <w:r w:rsidR="00020995">
        <w:rPr>
          <w:rFonts w:ascii="Arial" w:hAnsi="Arial" w:cs="Arial"/>
          <w:lang w:val="en-BZ"/>
        </w:rPr>
        <w:t>,</w:t>
      </w:r>
      <w:r w:rsidR="008C7D26" w:rsidRPr="009A720C">
        <w:rPr>
          <w:rFonts w:ascii="Arial" w:hAnsi="Arial" w:cs="Arial"/>
          <w:lang w:val="en-BZ"/>
        </w:rPr>
        <w:t xml:space="preserve"> clear dependence on the position could be </w:t>
      </w:r>
      <w:r w:rsidR="009A720C" w:rsidRPr="009A720C">
        <w:rPr>
          <w:rFonts w:ascii="Arial" w:hAnsi="Arial" w:cs="Arial"/>
          <w:lang w:val="en-BZ"/>
        </w:rPr>
        <w:t>established</w:t>
      </w:r>
      <w:r w:rsidR="008C7D26" w:rsidRPr="009A720C">
        <w:rPr>
          <w:rFonts w:ascii="Arial" w:hAnsi="Arial" w:cs="Arial"/>
          <w:lang w:val="en-BZ"/>
        </w:rPr>
        <w:t xml:space="preserve">. For example, the questions „Should be the Institute Council meetings partially </w:t>
      </w:r>
      <w:proofErr w:type="gramStart"/>
      <w:r w:rsidR="008C7D26" w:rsidRPr="009A720C">
        <w:rPr>
          <w:rFonts w:ascii="Arial" w:hAnsi="Arial" w:cs="Arial"/>
          <w:lang w:val="en-BZ"/>
        </w:rPr>
        <w:t>public“ or</w:t>
      </w:r>
      <w:proofErr w:type="gramEnd"/>
      <w:r w:rsidR="008C7D26" w:rsidRPr="009A720C">
        <w:rPr>
          <w:rFonts w:ascii="Arial" w:hAnsi="Arial" w:cs="Arial"/>
          <w:lang w:val="en-BZ"/>
        </w:rPr>
        <w:t xml:space="preserve"> „Do you need more safety measures at </w:t>
      </w:r>
      <w:proofErr w:type="spellStart"/>
      <w:r w:rsidR="008C7D26" w:rsidRPr="009A720C">
        <w:rPr>
          <w:rFonts w:ascii="Arial" w:hAnsi="Arial" w:cs="Arial"/>
          <w:lang w:val="en-BZ"/>
        </w:rPr>
        <w:t>IBP“</w:t>
      </w:r>
      <w:r w:rsidR="00020995">
        <w:rPr>
          <w:rFonts w:ascii="Arial" w:hAnsi="Arial" w:cs="Arial"/>
          <w:lang w:val="en-BZ"/>
        </w:rPr>
        <w:t>have</w:t>
      </w:r>
      <w:proofErr w:type="spellEnd"/>
      <w:r w:rsidR="008C7D26" w:rsidRPr="009A720C">
        <w:rPr>
          <w:rFonts w:ascii="Arial" w:hAnsi="Arial" w:cs="Arial"/>
          <w:lang w:val="en-BZ"/>
        </w:rPr>
        <w:t xml:space="preserve"> been approved more by lower </w:t>
      </w:r>
      <w:r w:rsidR="002E0B5B">
        <w:rPr>
          <w:rFonts w:ascii="Arial" w:hAnsi="Arial" w:cs="Arial"/>
          <w:lang w:val="en-BZ"/>
        </w:rPr>
        <w:t>career stages</w:t>
      </w:r>
      <w:r w:rsidR="008C7D26" w:rsidRPr="009A720C">
        <w:rPr>
          <w:rFonts w:ascii="Arial" w:hAnsi="Arial" w:cs="Arial"/>
          <w:lang w:val="en-BZ"/>
        </w:rPr>
        <w:t xml:space="preserve">. </w:t>
      </w:r>
      <w:r w:rsidR="009A720C">
        <w:rPr>
          <w:rFonts w:ascii="Arial" w:hAnsi="Arial" w:cs="Arial"/>
          <w:lang w:val="en-BZ"/>
        </w:rPr>
        <w:t>In the case of question on the popularization</w:t>
      </w:r>
      <w:r w:rsidR="00020995">
        <w:rPr>
          <w:rFonts w:ascii="Arial" w:hAnsi="Arial" w:cs="Arial"/>
          <w:lang w:val="en-BZ"/>
        </w:rPr>
        <w:t>,</w:t>
      </w:r>
      <w:r w:rsidR="009A720C">
        <w:rPr>
          <w:rFonts w:ascii="Arial" w:hAnsi="Arial" w:cs="Arial"/>
          <w:lang w:val="en-BZ"/>
        </w:rPr>
        <w:t xml:space="preserve"> the differences among </w:t>
      </w:r>
      <w:r w:rsidR="002E0B5B">
        <w:rPr>
          <w:rFonts w:ascii="Arial" w:hAnsi="Arial" w:cs="Arial"/>
          <w:lang w:val="en-BZ"/>
        </w:rPr>
        <w:t>career stages</w:t>
      </w:r>
      <w:r w:rsidR="009A720C">
        <w:rPr>
          <w:rFonts w:ascii="Arial" w:hAnsi="Arial" w:cs="Arial"/>
          <w:lang w:val="en-BZ"/>
        </w:rPr>
        <w:t xml:space="preserve"> are probably related more to statistical fluctuations, as well as in the case of plagiarism where the answers are negative</w:t>
      </w:r>
      <w:r w:rsidR="00020995">
        <w:rPr>
          <w:rFonts w:ascii="Arial" w:hAnsi="Arial" w:cs="Arial"/>
          <w:lang w:val="en-BZ"/>
        </w:rPr>
        <w:t>,</w:t>
      </w:r>
      <w:r w:rsidR="009A720C">
        <w:rPr>
          <w:rFonts w:ascii="Arial" w:hAnsi="Arial" w:cs="Arial"/>
          <w:lang w:val="en-BZ"/>
        </w:rPr>
        <w:t xml:space="preserve"> and this is obviously no problem for IBP. </w:t>
      </w:r>
    </w:p>
    <w:p w:rsidR="00657CC8" w:rsidRPr="009A720C" w:rsidRDefault="0017237E" w:rsidP="001E7F16">
      <w:pPr>
        <w:spacing w:line="360" w:lineRule="auto"/>
        <w:jc w:val="both"/>
        <w:rPr>
          <w:rFonts w:ascii="Arial" w:hAnsi="Arial" w:cs="Arial"/>
          <w:lang w:val="en-BZ"/>
        </w:rPr>
      </w:pPr>
      <w:r w:rsidRPr="009A720C">
        <w:rPr>
          <w:rFonts w:ascii="Arial" w:hAnsi="Arial" w:cs="Arial"/>
          <w:lang w:val="en-BZ"/>
        </w:rPr>
        <w:t xml:space="preserve">The consistency of the answers has been checked using the plot a/n </w:t>
      </w:r>
      <w:r w:rsidR="00020995">
        <w:rPr>
          <w:rFonts w:ascii="Arial" w:hAnsi="Arial" w:cs="Arial"/>
          <w:lang w:val="en-BZ"/>
        </w:rPr>
        <w:t>versus</w:t>
      </w:r>
      <w:r w:rsidRPr="009A720C">
        <w:rPr>
          <w:rFonts w:ascii="Arial" w:hAnsi="Arial" w:cs="Arial"/>
          <w:lang w:val="en-BZ"/>
        </w:rPr>
        <w:t xml:space="preserve"> „question </w:t>
      </w:r>
      <w:proofErr w:type="gramStart"/>
      <w:r w:rsidRPr="009A720C">
        <w:rPr>
          <w:rFonts w:ascii="Arial" w:hAnsi="Arial" w:cs="Arial"/>
          <w:lang w:val="en-BZ"/>
        </w:rPr>
        <w:t>position“ in</w:t>
      </w:r>
      <w:proofErr w:type="gramEnd"/>
      <w:r w:rsidRPr="009A720C">
        <w:rPr>
          <w:rFonts w:ascii="Arial" w:hAnsi="Arial" w:cs="Arial"/>
          <w:lang w:val="en-BZ"/>
        </w:rPr>
        <w:t xml:space="preserve"> Table 1.</w:t>
      </w:r>
      <w:r w:rsidR="008C7D26" w:rsidRPr="009A720C">
        <w:rPr>
          <w:rFonts w:ascii="Arial" w:hAnsi="Arial" w:cs="Arial"/>
          <w:lang w:val="en-BZ"/>
        </w:rPr>
        <w:t xml:space="preserve"> </w:t>
      </w:r>
      <w:r w:rsidRPr="009A720C">
        <w:rPr>
          <w:rFonts w:ascii="Arial" w:hAnsi="Arial" w:cs="Arial"/>
          <w:lang w:val="en-BZ"/>
        </w:rPr>
        <w:t>For average IBP answers</w:t>
      </w:r>
      <w:r w:rsidR="00020995">
        <w:rPr>
          <w:rFonts w:ascii="Arial" w:hAnsi="Arial" w:cs="Arial"/>
          <w:lang w:val="en-BZ"/>
        </w:rPr>
        <w:t>,</w:t>
      </w:r>
      <w:r w:rsidRPr="009A720C">
        <w:rPr>
          <w:rFonts w:ascii="Arial" w:hAnsi="Arial" w:cs="Arial"/>
          <w:lang w:val="en-BZ"/>
        </w:rPr>
        <w:t xml:space="preserve"> we have </w:t>
      </w:r>
      <w:r w:rsidR="00020995">
        <w:rPr>
          <w:rFonts w:ascii="Arial" w:hAnsi="Arial" w:cs="Arial"/>
          <w:lang w:val="en-BZ"/>
        </w:rPr>
        <w:t xml:space="preserve">a </w:t>
      </w:r>
      <w:r w:rsidR="009A720C" w:rsidRPr="009A720C">
        <w:rPr>
          <w:rFonts w:ascii="Arial" w:hAnsi="Arial" w:cs="Arial"/>
          <w:lang w:val="en-BZ"/>
        </w:rPr>
        <w:t>decreasing</w:t>
      </w:r>
      <w:r w:rsidRPr="009A720C">
        <w:rPr>
          <w:rFonts w:ascii="Arial" w:hAnsi="Arial" w:cs="Arial"/>
          <w:lang w:val="en-BZ"/>
        </w:rPr>
        <w:t xml:space="preserve"> function (Fig. 2) as expected. </w:t>
      </w:r>
      <w:r w:rsidR="00C63622" w:rsidRPr="009A720C">
        <w:rPr>
          <w:rFonts w:ascii="Arial" w:hAnsi="Arial" w:cs="Arial"/>
          <w:lang w:val="en-BZ"/>
        </w:rPr>
        <w:t xml:space="preserve"> The variations of different </w:t>
      </w:r>
      <w:r w:rsidR="002E0B5B">
        <w:rPr>
          <w:rFonts w:ascii="Arial" w:hAnsi="Arial" w:cs="Arial"/>
          <w:lang w:val="en-BZ"/>
        </w:rPr>
        <w:t>career stages</w:t>
      </w:r>
      <w:r w:rsidR="00C63622" w:rsidRPr="009A720C">
        <w:rPr>
          <w:rFonts w:ascii="Arial" w:hAnsi="Arial" w:cs="Arial"/>
          <w:lang w:val="en-BZ"/>
        </w:rPr>
        <w:t xml:space="preserve"> are mostly of statistical origin (with some exceptions mentioned above) and, therefore, </w:t>
      </w:r>
      <w:r w:rsidR="001D4EA5">
        <w:rPr>
          <w:rFonts w:ascii="Arial" w:hAnsi="Arial" w:cs="Arial"/>
          <w:lang w:val="en-BZ"/>
        </w:rPr>
        <w:t xml:space="preserve">we </w:t>
      </w:r>
      <w:r w:rsidR="00241FB5">
        <w:rPr>
          <w:rFonts w:ascii="Arial" w:hAnsi="Arial" w:cs="Arial"/>
          <w:lang w:val="en-BZ"/>
        </w:rPr>
        <w:t>co</w:t>
      </w:r>
      <w:r w:rsidR="00241FB5" w:rsidRPr="009A720C">
        <w:rPr>
          <w:rFonts w:ascii="Arial" w:hAnsi="Arial" w:cs="Arial"/>
          <w:lang w:val="en-BZ"/>
        </w:rPr>
        <w:t>ncluded</w:t>
      </w:r>
      <w:r w:rsidR="00C63622" w:rsidRPr="009A720C">
        <w:rPr>
          <w:rFonts w:ascii="Arial" w:hAnsi="Arial" w:cs="Arial"/>
          <w:lang w:val="en-BZ"/>
        </w:rPr>
        <w:t xml:space="preserve"> that the results of the </w:t>
      </w:r>
      <w:r w:rsidR="009A720C" w:rsidRPr="009A720C">
        <w:rPr>
          <w:rFonts w:ascii="Arial" w:hAnsi="Arial" w:cs="Arial"/>
          <w:lang w:val="en-BZ"/>
        </w:rPr>
        <w:t>questioner</w:t>
      </w:r>
      <w:r w:rsidR="00C63622" w:rsidRPr="009A720C">
        <w:rPr>
          <w:rFonts w:ascii="Arial" w:hAnsi="Arial" w:cs="Arial"/>
          <w:lang w:val="en-BZ"/>
        </w:rPr>
        <w:t xml:space="preserve"> are </w:t>
      </w:r>
      <w:r w:rsidR="00020995">
        <w:rPr>
          <w:rFonts w:ascii="Arial" w:hAnsi="Arial" w:cs="Arial"/>
          <w:lang w:val="en-BZ"/>
        </w:rPr>
        <w:t>primari</w:t>
      </w:r>
      <w:r w:rsidR="001D4EA5">
        <w:rPr>
          <w:rFonts w:ascii="Arial" w:hAnsi="Arial" w:cs="Arial"/>
          <w:lang w:val="en-BZ"/>
        </w:rPr>
        <w:t xml:space="preserve">ly </w:t>
      </w:r>
      <w:r w:rsidR="00C63622" w:rsidRPr="009A720C">
        <w:rPr>
          <w:rFonts w:ascii="Arial" w:hAnsi="Arial" w:cs="Arial"/>
          <w:lang w:val="en-BZ"/>
        </w:rPr>
        <w:t xml:space="preserve">reliable and basically not dependent on the </w:t>
      </w:r>
      <w:r w:rsidR="001D4EA5">
        <w:rPr>
          <w:rFonts w:ascii="Arial" w:hAnsi="Arial" w:cs="Arial"/>
          <w:lang w:val="en-BZ"/>
        </w:rPr>
        <w:t xml:space="preserve">career </w:t>
      </w:r>
      <w:r w:rsidR="00C63622" w:rsidRPr="009A720C">
        <w:rPr>
          <w:rFonts w:ascii="Arial" w:hAnsi="Arial" w:cs="Arial"/>
          <w:lang w:val="en-BZ"/>
        </w:rPr>
        <w:t>position of the respondents.</w:t>
      </w:r>
      <w:r w:rsidR="005A73C8">
        <w:rPr>
          <w:rFonts w:ascii="Arial" w:hAnsi="Arial" w:cs="Arial"/>
          <w:lang w:val="en-BZ"/>
        </w:rPr>
        <w:t xml:space="preserve"> Answers for additional questions are shown in Table 2.</w:t>
      </w:r>
      <w:r w:rsidR="00C63622" w:rsidRPr="009A720C">
        <w:rPr>
          <w:rFonts w:ascii="Arial" w:hAnsi="Arial" w:cs="Arial"/>
          <w:lang w:val="en-BZ"/>
        </w:rPr>
        <w:t xml:space="preserve"> </w:t>
      </w:r>
    </w:p>
    <w:p w:rsidR="005B612B" w:rsidRPr="009A720C" w:rsidRDefault="005A73C8" w:rsidP="001E7F16">
      <w:pPr>
        <w:spacing w:line="360" w:lineRule="auto"/>
        <w:jc w:val="both"/>
        <w:rPr>
          <w:rFonts w:ascii="Arial" w:hAnsi="Arial" w:cs="Arial"/>
          <w:lang w:val="en-BZ"/>
        </w:rPr>
      </w:pPr>
      <w:r>
        <w:rPr>
          <w:rFonts w:ascii="Arial" w:hAnsi="Arial" w:cs="Arial"/>
          <w:lang w:val="en-BZ"/>
        </w:rPr>
        <w:t>In both case</w:t>
      </w:r>
      <w:r w:rsidR="00020995">
        <w:rPr>
          <w:rFonts w:ascii="Arial" w:hAnsi="Arial" w:cs="Arial"/>
          <w:lang w:val="en-BZ"/>
        </w:rPr>
        <w:t>s</w:t>
      </w:r>
      <w:r>
        <w:rPr>
          <w:rFonts w:ascii="Arial" w:hAnsi="Arial" w:cs="Arial"/>
          <w:lang w:val="en-BZ"/>
        </w:rPr>
        <w:t>, gap analysis direct questions and additional questions, t</w:t>
      </w:r>
      <w:r w:rsidR="005B612B" w:rsidRPr="009A720C">
        <w:rPr>
          <w:rFonts w:ascii="Arial" w:hAnsi="Arial" w:cs="Arial"/>
          <w:lang w:val="en-BZ"/>
        </w:rPr>
        <w:t>he most positive answers</w:t>
      </w:r>
      <w:r>
        <w:rPr>
          <w:rFonts w:ascii="Arial" w:hAnsi="Arial" w:cs="Arial"/>
          <w:lang w:val="en-BZ"/>
        </w:rPr>
        <w:t xml:space="preserve"> that need to be solved,</w:t>
      </w:r>
      <w:r w:rsidR="005B612B" w:rsidRPr="009A720C">
        <w:rPr>
          <w:rFonts w:ascii="Arial" w:hAnsi="Arial" w:cs="Arial"/>
          <w:lang w:val="en-BZ"/>
        </w:rPr>
        <w:t xml:space="preserve"> are listed in Table 3 in order to use them in the </w:t>
      </w:r>
      <w:r w:rsidR="002740FA" w:rsidRPr="009A720C">
        <w:rPr>
          <w:rFonts w:ascii="Arial" w:hAnsi="Arial" w:cs="Arial"/>
          <w:lang w:val="en-BZ"/>
        </w:rPr>
        <w:t xml:space="preserve">preparation of </w:t>
      </w:r>
      <w:r w:rsidR="005B612B" w:rsidRPr="009A720C">
        <w:rPr>
          <w:rFonts w:ascii="Arial" w:hAnsi="Arial" w:cs="Arial"/>
          <w:lang w:val="en-BZ"/>
        </w:rPr>
        <w:t>the</w:t>
      </w:r>
      <w:r>
        <w:rPr>
          <w:rFonts w:ascii="Arial" w:hAnsi="Arial" w:cs="Arial"/>
          <w:lang w:val="en-BZ"/>
        </w:rPr>
        <w:t xml:space="preserve"> Action Plan (</w:t>
      </w:r>
      <w:r w:rsidR="005B612B" w:rsidRPr="009A720C">
        <w:rPr>
          <w:rFonts w:ascii="Arial" w:hAnsi="Arial" w:cs="Arial"/>
          <w:lang w:val="en-BZ"/>
        </w:rPr>
        <w:t>AP</w:t>
      </w:r>
      <w:r>
        <w:rPr>
          <w:rFonts w:ascii="Arial" w:hAnsi="Arial" w:cs="Arial"/>
          <w:lang w:val="en-BZ"/>
        </w:rPr>
        <w:t>)</w:t>
      </w:r>
      <w:r w:rsidR="005B612B" w:rsidRPr="009A720C">
        <w:rPr>
          <w:rFonts w:ascii="Arial" w:hAnsi="Arial" w:cs="Arial"/>
          <w:lang w:val="en-BZ"/>
        </w:rPr>
        <w:t xml:space="preserve">. </w:t>
      </w:r>
      <w:r w:rsidR="00942A30">
        <w:rPr>
          <w:rFonts w:ascii="Arial" w:hAnsi="Arial" w:cs="Arial"/>
          <w:lang w:val="en-BZ"/>
        </w:rPr>
        <w:t>The q</w:t>
      </w:r>
      <w:r w:rsidR="001278A0">
        <w:rPr>
          <w:rFonts w:ascii="Arial" w:hAnsi="Arial" w:cs="Arial"/>
          <w:lang w:val="en-BZ"/>
        </w:rPr>
        <w:t xml:space="preserve">uestions requiring some action are shown in green </w:t>
      </w:r>
      <w:proofErr w:type="spellStart"/>
      <w:r w:rsidR="001278A0">
        <w:rPr>
          <w:rFonts w:ascii="Arial" w:hAnsi="Arial" w:cs="Arial"/>
          <w:lang w:val="en-BZ"/>
        </w:rPr>
        <w:t>color</w:t>
      </w:r>
      <w:proofErr w:type="spellEnd"/>
      <w:r w:rsidR="00241FB5">
        <w:rPr>
          <w:rFonts w:ascii="Arial" w:hAnsi="Arial" w:cs="Arial"/>
          <w:lang w:val="en-BZ"/>
        </w:rPr>
        <w:t>, and t</w:t>
      </w:r>
      <w:r w:rsidR="00942A30">
        <w:rPr>
          <w:rFonts w:ascii="Arial" w:hAnsi="Arial" w:cs="Arial"/>
          <w:lang w:val="en-BZ"/>
        </w:rPr>
        <w:t>hey are elaborated in the AP.</w:t>
      </w:r>
    </w:p>
    <w:p w:rsidR="00EB4F6D" w:rsidRPr="005B52B5" w:rsidRDefault="00EB4F6D" w:rsidP="001E7F16">
      <w:pPr>
        <w:jc w:val="both"/>
        <w:rPr>
          <w:rFonts w:ascii="Arial" w:hAnsi="Arial" w:cs="Arial"/>
          <w:b/>
          <w:sz w:val="24"/>
          <w:szCs w:val="24"/>
          <w:lang w:val="en-BZ"/>
        </w:rPr>
      </w:pPr>
      <w:r w:rsidRPr="005B52B5">
        <w:rPr>
          <w:rFonts w:ascii="Arial" w:hAnsi="Arial" w:cs="Arial"/>
          <w:b/>
          <w:sz w:val="24"/>
          <w:szCs w:val="24"/>
          <w:lang w:val="en-BZ"/>
        </w:rPr>
        <w:lastRenderedPageBreak/>
        <w:t>Table 1.  GAP Analysis</w:t>
      </w:r>
      <w:r w:rsidR="002E0B5B" w:rsidRPr="005B52B5">
        <w:rPr>
          <w:rFonts w:ascii="Arial" w:hAnsi="Arial" w:cs="Arial"/>
          <w:b/>
          <w:sz w:val="24"/>
          <w:szCs w:val="24"/>
          <w:lang w:val="en-BZ"/>
        </w:rPr>
        <w:t xml:space="preserve"> for different career stages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5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B4F6D" w:rsidRPr="009A720C" w:rsidTr="009A720C">
        <w:trPr>
          <w:trHeight w:val="43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Question no.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37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 xml:space="preserve">All Answers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97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Answers 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70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IBP Average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0,72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Lab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0,56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0,53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0,89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</w:tr>
      <w:tr w:rsidR="00EB4F6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</w:tr>
      <w:tr w:rsidR="00EB4F6D" w:rsidRPr="009A720C" w:rsidTr="009A720C">
        <w:trPr>
          <w:trHeight w:val="4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THS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F6D" w:rsidRPr="009A720C" w:rsidRDefault="00EB4F6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</w:tr>
    </w:tbl>
    <w:p w:rsidR="00EB4F6D" w:rsidRPr="009A720C" w:rsidRDefault="00EB4F6D" w:rsidP="001E7F16">
      <w:pPr>
        <w:jc w:val="both"/>
        <w:rPr>
          <w:lang w:val="en-BZ"/>
        </w:rPr>
      </w:pPr>
    </w:p>
    <w:p w:rsidR="008A6EFD" w:rsidRPr="009A720C" w:rsidRDefault="0022152A" w:rsidP="001E7F16">
      <w:pPr>
        <w:jc w:val="both"/>
        <w:rPr>
          <w:lang w:val="en-BZ"/>
        </w:rPr>
      </w:pPr>
      <w:r w:rsidRPr="009A720C">
        <w:rPr>
          <w:lang w:val="en-BZ"/>
        </w:rPr>
        <w:t xml:space="preserve"> 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5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8A6EFD" w:rsidRPr="009A720C" w:rsidTr="009A720C">
        <w:trPr>
          <w:trHeight w:val="43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Question no.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 xml:space="preserve">All Answers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84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Answers 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32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IBP Average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Lab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0,36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0,41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</w:tr>
      <w:tr w:rsidR="008A6EFD" w:rsidRPr="009A720C" w:rsidTr="009A720C">
        <w:trPr>
          <w:trHeight w:val="4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THS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0,36</w:t>
            </w:r>
          </w:p>
        </w:tc>
      </w:tr>
    </w:tbl>
    <w:p w:rsidR="006E1C83" w:rsidRPr="009A720C" w:rsidRDefault="006E1C83" w:rsidP="001E7F16">
      <w:pPr>
        <w:jc w:val="both"/>
        <w:rPr>
          <w:lang w:val="en-BZ"/>
        </w:rPr>
      </w:pPr>
    </w:p>
    <w:p w:rsidR="008A6EFD" w:rsidRPr="009A720C" w:rsidRDefault="008A6EFD" w:rsidP="001E7F16">
      <w:pPr>
        <w:jc w:val="both"/>
        <w:rPr>
          <w:lang w:val="en-BZ"/>
        </w:rPr>
      </w:pP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52"/>
        <w:gridCol w:w="460"/>
        <w:gridCol w:w="460"/>
        <w:gridCol w:w="460"/>
        <w:gridCol w:w="460"/>
        <w:gridCol w:w="460"/>
        <w:gridCol w:w="460"/>
        <w:gridCol w:w="460"/>
      </w:tblGrid>
      <w:tr w:rsidR="008A6EFD" w:rsidRPr="009A720C" w:rsidTr="009A720C">
        <w:trPr>
          <w:trHeight w:val="43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lastRenderedPageBreak/>
              <w:t>Question no.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Av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 xml:space="preserve">All Answers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73,9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Answers 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47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IBP Average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0,64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Lab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0,62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0,64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0,59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0,66</w:t>
            </w:r>
          </w:p>
        </w:tc>
      </w:tr>
      <w:tr w:rsidR="008A6EFD" w:rsidRPr="009A720C" w:rsidTr="009A720C">
        <w:trPr>
          <w:trHeight w:val="4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THS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0,49</w:t>
            </w:r>
          </w:p>
        </w:tc>
      </w:tr>
    </w:tbl>
    <w:p w:rsidR="008A6EFD" w:rsidRPr="009A720C" w:rsidRDefault="008A6EFD" w:rsidP="001E7F16">
      <w:pPr>
        <w:jc w:val="both"/>
        <w:rPr>
          <w:lang w:val="en-BZ"/>
        </w:rPr>
      </w:pPr>
    </w:p>
    <w:p w:rsidR="008A6EFD" w:rsidRPr="005B52B5" w:rsidRDefault="008A6EFD" w:rsidP="001E7F16">
      <w:pPr>
        <w:jc w:val="both"/>
        <w:rPr>
          <w:rFonts w:ascii="Arial" w:hAnsi="Arial" w:cs="Arial"/>
          <w:b/>
          <w:sz w:val="24"/>
          <w:szCs w:val="24"/>
          <w:lang w:val="en-BZ"/>
        </w:rPr>
      </w:pPr>
      <w:r w:rsidRPr="005B52B5">
        <w:rPr>
          <w:rFonts w:ascii="Arial" w:hAnsi="Arial" w:cs="Arial"/>
          <w:b/>
          <w:sz w:val="24"/>
          <w:szCs w:val="24"/>
          <w:lang w:val="en-BZ"/>
        </w:rPr>
        <w:t>Table 2. Additional questions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5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8A6EFD" w:rsidRPr="009A720C" w:rsidTr="009A720C">
        <w:trPr>
          <w:trHeight w:val="43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Question no.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A8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A2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A9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A3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A5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A7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A10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A4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A1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A6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Av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 xml:space="preserve">All Answers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16,5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Answers 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7,77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IBP Average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0,46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Lab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0,46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0,42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0,57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0,52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0,49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0,35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0,44</w:t>
            </w:r>
          </w:p>
        </w:tc>
      </w:tr>
      <w:tr w:rsidR="008A6EFD" w:rsidRPr="009A720C" w:rsidTr="009A720C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VO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0,31</w:t>
            </w:r>
          </w:p>
        </w:tc>
      </w:tr>
      <w:tr w:rsidR="008A6EFD" w:rsidRPr="009A720C" w:rsidTr="009A720C">
        <w:trPr>
          <w:trHeight w:val="43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20"/>
                <w:szCs w:val="20"/>
                <w:lang w:val="en-BZ" w:eastAsia="cs-CZ"/>
              </w:rPr>
              <w:t>Category THS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8A6EFD" w:rsidRPr="009A720C" w:rsidRDefault="008A6EFD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sz w:val="16"/>
                <w:szCs w:val="16"/>
                <w:lang w:val="en-BZ" w:eastAsia="cs-CZ"/>
              </w:rPr>
              <w:t>0,3</w:t>
            </w:r>
          </w:p>
        </w:tc>
      </w:tr>
    </w:tbl>
    <w:p w:rsidR="008A6EFD" w:rsidRPr="009A720C" w:rsidRDefault="008A6EFD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C63622" w:rsidRPr="009A720C" w:rsidRDefault="00C63622" w:rsidP="001E7F16">
      <w:pPr>
        <w:jc w:val="both"/>
        <w:rPr>
          <w:lang w:val="en-BZ"/>
        </w:rPr>
      </w:pPr>
    </w:p>
    <w:p w:rsidR="00C63622" w:rsidRPr="009A720C" w:rsidRDefault="00C63622" w:rsidP="001E7F16">
      <w:pPr>
        <w:jc w:val="both"/>
        <w:rPr>
          <w:lang w:val="en-BZ"/>
        </w:rPr>
      </w:pPr>
    </w:p>
    <w:p w:rsidR="0053666D" w:rsidRPr="005B52B5" w:rsidRDefault="0053666D" w:rsidP="001E7F16">
      <w:pPr>
        <w:jc w:val="both"/>
        <w:rPr>
          <w:rFonts w:ascii="Arial" w:hAnsi="Arial" w:cs="Arial"/>
          <w:b/>
          <w:sz w:val="24"/>
          <w:szCs w:val="24"/>
          <w:lang w:val="en-BZ"/>
        </w:rPr>
      </w:pPr>
      <w:r w:rsidRPr="005B52B5">
        <w:rPr>
          <w:rFonts w:ascii="Arial" w:hAnsi="Arial" w:cs="Arial"/>
          <w:b/>
          <w:sz w:val="24"/>
          <w:szCs w:val="24"/>
          <w:lang w:val="en-BZ"/>
        </w:rPr>
        <w:lastRenderedPageBreak/>
        <w:t xml:space="preserve">Fig. 1. Comparison of answers for different </w:t>
      </w:r>
      <w:r w:rsidR="002E0B5B" w:rsidRPr="005B52B5">
        <w:rPr>
          <w:rFonts w:ascii="Arial" w:hAnsi="Arial" w:cs="Arial"/>
          <w:b/>
          <w:sz w:val="24"/>
          <w:szCs w:val="24"/>
          <w:lang w:val="en-BZ"/>
        </w:rPr>
        <w:t>career stages</w:t>
      </w:r>
    </w:p>
    <w:p w:rsidR="0053666D" w:rsidRPr="009A720C" w:rsidRDefault="0053666D" w:rsidP="001E7F16">
      <w:pPr>
        <w:jc w:val="both"/>
        <w:rPr>
          <w:lang w:val="en-BZ"/>
        </w:rPr>
      </w:pPr>
      <w:r w:rsidRPr="009A720C">
        <w:rPr>
          <w:noProof/>
          <w:lang w:eastAsia="cs-CZ"/>
        </w:rPr>
        <w:drawing>
          <wp:inline distT="0" distB="0" distL="0" distR="0" wp14:anchorId="3461DD49" wp14:editId="554F585A">
            <wp:extent cx="2760029" cy="1771864"/>
            <wp:effectExtent l="0" t="0" r="254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9A720C">
        <w:rPr>
          <w:noProof/>
          <w:lang w:eastAsia="cs-CZ"/>
        </w:rPr>
        <w:drawing>
          <wp:inline distT="0" distB="0" distL="0" distR="0" wp14:anchorId="0302C7C4" wp14:editId="1CB64AF3">
            <wp:extent cx="2698321" cy="1766360"/>
            <wp:effectExtent l="0" t="0" r="6985" b="571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666D" w:rsidRPr="009A720C" w:rsidRDefault="0053666D" w:rsidP="001E7F16">
      <w:pPr>
        <w:jc w:val="both"/>
        <w:rPr>
          <w:lang w:val="en-BZ"/>
        </w:rPr>
      </w:pPr>
      <w:r w:rsidRPr="009A720C">
        <w:rPr>
          <w:noProof/>
          <w:lang w:eastAsia="cs-CZ"/>
        </w:rPr>
        <w:drawing>
          <wp:inline distT="0" distB="0" distL="0" distR="0" wp14:anchorId="79E74EBA" wp14:editId="4E74448E">
            <wp:extent cx="2776858" cy="1956435"/>
            <wp:effectExtent l="0" t="0" r="4445" b="571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9A720C">
        <w:rPr>
          <w:noProof/>
          <w:lang w:eastAsia="cs-CZ"/>
        </w:rPr>
        <w:drawing>
          <wp:inline distT="0" distB="0" distL="0" distR="0" wp14:anchorId="13AABF06" wp14:editId="24AA02AB">
            <wp:extent cx="2703932" cy="1950720"/>
            <wp:effectExtent l="0" t="0" r="1270" b="1143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9A720C" w:rsidRDefault="0017237E" w:rsidP="001E7F16">
      <w:pPr>
        <w:jc w:val="both"/>
        <w:rPr>
          <w:lang w:val="en-BZ"/>
        </w:rPr>
      </w:pPr>
    </w:p>
    <w:p w:rsidR="0017237E" w:rsidRPr="005B52B5" w:rsidRDefault="0017237E" w:rsidP="001E7F16">
      <w:pPr>
        <w:jc w:val="both"/>
        <w:rPr>
          <w:rFonts w:ascii="Arial" w:hAnsi="Arial" w:cs="Arial"/>
          <w:b/>
          <w:sz w:val="24"/>
          <w:szCs w:val="24"/>
          <w:lang w:val="en-BZ"/>
        </w:rPr>
      </w:pPr>
      <w:r w:rsidRPr="005B52B5">
        <w:rPr>
          <w:rFonts w:ascii="Arial" w:hAnsi="Arial" w:cs="Arial"/>
          <w:b/>
          <w:sz w:val="24"/>
          <w:szCs w:val="24"/>
          <w:lang w:val="en-BZ"/>
        </w:rPr>
        <w:lastRenderedPageBreak/>
        <w:t>Fig. 2. The dependence of the a/n value on the position</w:t>
      </w:r>
      <w:r w:rsidR="001D4EA5" w:rsidRPr="005B52B5">
        <w:rPr>
          <w:rFonts w:ascii="Arial" w:hAnsi="Arial" w:cs="Arial"/>
          <w:b/>
          <w:sz w:val="24"/>
          <w:szCs w:val="24"/>
          <w:lang w:val="en-BZ"/>
        </w:rPr>
        <w:t xml:space="preserve"> of the question </w:t>
      </w:r>
      <w:bookmarkStart w:id="0" w:name="_GoBack"/>
      <w:bookmarkEnd w:id="0"/>
      <w:r w:rsidR="00020995">
        <w:rPr>
          <w:rFonts w:ascii="Arial" w:hAnsi="Arial" w:cs="Arial"/>
          <w:b/>
          <w:sz w:val="24"/>
          <w:szCs w:val="24"/>
          <w:lang w:val="en-BZ"/>
        </w:rPr>
        <w:t xml:space="preserve">is </w:t>
      </w:r>
      <w:r w:rsidR="001D4EA5" w:rsidRPr="005B52B5">
        <w:rPr>
          <w:rFonts w:ascii="Arial" w:hAnsi="Arial" w:cs="Arial"/>
          <w:b/>
          <w:sz w:val="24"/>
          <w:szCs w:val="24"/>
          <w:lang w:val="en-BZ"/>
        </w:rPr>
        <w:t>in Table 1</w:t>
      </w:r>
      <w:r w:rsidRPr="005B52B5">
        <w:rPr>
          <w:rFonts w:ascii="Arial" w:hAnsi="Arial" w:cs="Arial"/>
          <w:b/>
          <w:sz w:val="24"/>
          <w:szCs w:val="24"/>
          <w:lang w:val="en-BZ"/>
        </w:rPr>
        <w:t xml:space="preserve">. The IBP average is compared with V2, </w:t>
      </w:r>
      <w:r w:rsidR="005A3182" w:rsidRPr="005B52B5">
        <w:rPr>
          <w:rFonts w:ascii="Arial" w:hAnsi="Arial" w:cs="Arial"/>
          <w:b/>
          <w:sz w:val="24"/>
          <w:szCs w:val="24"/>
          <w:lang w:val="en-BZ"/>
        </w:rPr>
        <w:t xml:space="preserve">V4 and V5 </w:t>
      </w:r>
      <w:r w:rsidR="001D4EA5" w:rsidRPr="005B52B5">
        <w:rPr>
          <w:rFonts w:ascii="Arial" w:hAnsi="Arial" w:cs="Arial"/>
          <w:b/>
          <w:sz w:val="24"/>
          <w:szCs w:val="24"/>
          <w:lang w:val="en-BZ"/>
        </w:rPr>
        <w:t>career stages</w:t>
      </w:r>
      <w:r w:rsidR="005A3182" w:rsidRPr="005B52B5">
        <w:rPr>
          <w:rFonts w:ascii="Arial" w:hAnsi="Arial" w:cs="Arial"/>
          <w:b/>
          <w:sz w:val="24"/>
          <w:szCs w:val="24"/>
          <w:lang w:val="en-BZ"/>
        </w:rPr>
        <w:t>.</w:t>
      </w:r>
    </w:p>
    <w:p w:rsidR="0017237E" w:rsidRPr="009A720C" w:rsidRDefault="0017237E" w:rsidP="001E7F16">
      <w:pPr>
        <w:jc w:val="both"/>
        <w:rPr>
          <w:lang w:val="en-BZ"/>
        </w:rPr>
      </w:pPr>
      <w:r w:rsidRPr="009A720C">
        <w:rPr>
          <w:noProof/>
          <w:lang w:eastAsia="cs-CZ"/>
        </w:rPr>
        <w:drawing>
          <wp:inline distT="0" distB="0" distL="0" distR="0" wp14:anchorId="047C6A6C" wp14:editId="56F2A92E">
            <wp:extent cx="2804908" cy="2055737"/>
            <wp:effectExtent l="0" t="0" r="14605" b="190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9A720C">
        <w:rPr>
          <w:noProof/>
          <w:lang w:eastAsia="cs-CZ"/>
        </w:rPr>
        <w:drawing>
          <wp:inline distT="0" distB="0" distL="0" distR="0" wp14:anchorId="7FD5D640" wp14:editId="39900FF7">
            <wp:extent cx="2737590" cy="2055495"/>
            <wp:effectExtent l="0" t="0" r="5715" b="1905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A720C">
        <w:rPr>
          <w:noProof/>
          <w:lang w:eastAsia="cs-CZ"/>
        </w:rPr>
        <w:drawing>
          <wp:inline distT="0" distB="0" distL="0" distR="0" wp14:anchorId="77598D46" wp14:editId="3F360A31">
            <wp:extent cx="2810517" cy="1951990"/>
            <wp:effectExtent l="0" t="0" r="8890" b="1016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9A720C">
        <w:rPr>
          <w:noProof/>
          <w:lang w:eastAsia="cs-CZ"/>
        </w:rPr>
        <w:drawing>
          <wp:inline distT="0" distB="0" distL="0" distR="0" wp14:anchorId="7BA8906F" wp14:editId="3400DC3C">
            <wp:extent cx="2782468" cy="1963436"/>
            <wp:effectExtent l="0" t="0" r="18415" b="1778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237E" w:rsidRPr="009A720C" w:rsidRDefault="0017237E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Default="00143820" w:rsidP="001E7F16">
      <w:pPr>
        <w:jc w:val="both"/>
        <w:rPr>
          <w:lang w:val="en-BZ"/>
        </w:rPr>
      </w:pPr>
    </w:p>
    <w:p w:rsidR="001D4EA5" w:rsidRPr="009A720C" w:rsidRDefault="001D4EA5" w:rsidP="001E7F16">
      <w:pPr>
        <w:jc w:val="both"/>
        <w:rPr>
          <w:lang w:val="en-BZ"/>
        </w:rPr>
      </w:pPr>
    </w:p>
    <w:p w:rsidR="00143820" w:rsidRPr="009A720C" w:rsidRDefault="00143820" w:rsidP="001E7F16">
      <w:pPr>
        <w:jc w:val="both"/>
        <w:rPr>
          <w:lang w:val="en-BZ"/>
        </w:rPr>
      </w:pPr>
    </w:p>
    <w:p w:rsidR="00143820" w:rsidRPr="005B52B5" w:rsidRDefault="00143820" w:rsidP="001E7F16">
      <w:pPr>
        <w:jc w:val="both"/>
        <w:rPr>
          <w:rFonts w:ascii="Arial" w:hAnsi="Arial" w:cs="Arial"/>
          <w:b/>
          <w:sz w:val="24"/>
          <w:szCs w:val="24"/>
          <w:lang w:val="en-BZ"/>
        </w:rPr>
      </w:pPr>
      <w:r w:rsidRPr="005B52B5">
        <w:rPr>
          <w:rFonts w:ascii="Arial" w:hAnsi="Arial" w:cs="Arial"/>
          <w:b/>
          <w:sz w:val="24"/>
          <w:szCs w:val="24"/>
          <w:lang w:val="en-BZ"/>
        </w:rPr>
        <w:lastRenderedPageBreak/>
        <w:t>Table 3.  Positively answered questions</w:t>
      </w:r>
    </w:p>
    <w:tbl>
      <w:tblPr>
        <w:tblW w:w="9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4338"/>
        <w:gridCol w:w="721"/>
        <w:gridCol w:w="721"/>
        <w:gridCol w:w="721"/>
        <w:gridCol w:w="721"/>
        <w:gridCol w:w="721"/>
        <w:gridCol w:w="721"/>
      </w:tblGrid>
      <w:tr w:rsidR="001D4EA5" w:rsidRPr="009A720C" w:rsidTr="00143820">
        <w:trPr>
          <w:gridAfter w:val="5"/>
          <w:wAfter w:w="3605" w:type="dxa"/>
          <w:trHeight w:val="435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40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Knowledge of the safety rules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0,98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Popularization of the results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0,92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Freedom of the research at IBP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0,90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Integration of foreign scientists at IBP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0,90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Improvement of collaboration between departments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Relations betwee</w:t>
            </w:r>
            <w:r w:rsidR="001278A0">
              <w:rPr>
                <w:rFonts w:ascii="Arial" w:eastAsia="Times New Roman" w:hAnsi="Arial" w:cs="Arial"/>
                <w:color w:val="000000"/>
                <w:lang w:val="en-BZ" w:eastAsia="cs-CZ"/>
              </w:rPr>
              <w:t>n</w:t>
            </w: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 PhD student and his supervisor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Involv</w:t>
            </w:r>
            <w:r w:rsidR="001278A0">
              <w:rPr>
                <w:rFonts w:ascii="Arial" w:eastAsia="Times New Roman" w:hAnsi="Arial" w:cs="Arial"/>
                <w:color w:val="000000"/>
                <w:lang w:val="en-BZ" w:eastAsia="cs-CZ"/>
              </w:rPr>
              <w:t>e</w:t>
            </w: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ment of IBP in ecological activit</w:t>
            </w:r>
            <w:r w:rsidR="001278A0">
              <w:rPr>
                <w:rFonts w:ascii="Arial" w:eastAsia="Times New Roman" w:hAnsi="Arial" w:cs="Arial"/>
                <w:color w:val="000000"/>
                <w:lang w:val="en-BZ" w:eastAsia="cs-CZ"/>
              </w:rPr>
              <w:t>i</w:t>
            </w: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Knowledge of ethical principles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Improvement of collaboration with application sphere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0,87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The need of better infrastructure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0,85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Increase of the number of foreign scientists lectures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0,84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Further education of researchers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0,83</w:t>
            </w:r>
          </w:p>
        </w:tc>
      </w:tr>
      <w:tr w:rsidR="001D4EA5" w:rsidRPr="009A720C" w:rsidTr="00143820">
        <w:trPr>
          <w:gridAfter w:val="5"/>
          <w:wAfter w:w="3605" w:type="dxa"/>
          <w:trHeight w:val="43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Popularization of the results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0,83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Increase of the mobility of scientists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The need of </w:t>
            </w:r>
            <w:r w:rsidR="005B52B5"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loyalty</w:t>
            </w: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0,81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39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Evaluation of the research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0,80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Competition in magister degree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0,77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Knowledge of financial mechanisms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5B52B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Kindergarten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Higher publicity of the results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The need to be involved in the decision on career growth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0,70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27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Translation of documents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0,70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Higher salaries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The need of project department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0,68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278A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en-BZ" w:eastAsia="cs-CZ"/>
              </w:rPr>
              <w:t>The need of management</w:t>
            </w:r>
            <w:r w:rsidR="001D4EA5"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 courses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0,65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7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Better equipment for science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0,65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45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The course on statistics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0,64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Knowledge of the strategic goals of the Academy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0,62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Knowledge of the IP rules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0,57</w:t>
            </w:r>
          </w:p>
        </w:tc>
      </w:tr>
      <w:tr w:rsidR="001D4EA5" w:rsidRPr="009A720C" w:rsidTr="00143820">
        <w:trPr>
          <w:gridAfter w:val="5"/>
          <w:wAfter w:w="3605" w:type="dxa"/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33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Better PR activities of the IBP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A5" w:rsidRPr="009A720C" w:rsidRDefault="001D4EA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0,52</w:t>
            </w:r>
          </w:p>
        </w:tc>
      </w:tr>
      <w:tr w:rsidR="00143820" w:rsidRPr="009A720C" w:rsidTr="00143820">
        <w:trPr>
          <w:trHeight w:val="420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lastRenderedPageBreak/>
              <w:t>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5B52B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en-BZ" w:eastAsia="cs-CZ"/>
              </w:rPr>
              <w:t xml:space="preserve">An improvement of PI feedback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0,51</w:t>
            </w:r>
          </w:p>
        </w:tc>
      </w:tr>
      <w:tr w:rsidR="00143820" w:rsidRPr="009A720C" w:rsidTr="00143820">
        <w:trPr>
          <w:trHeight w:val="43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3820" w:rsidRPr="009A720C" w:rsidRDefault="005B52B5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en-BZ" w:eastAsia="cs-CZ"/>
              </w:rPr>
              <w:t>Language courses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3820" w:rsidRPr="009A720C" w:rsidRDefault="00143820" w:rsidP="001E7F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BZ" w:eastAsia="cs-CZ"/>
              </w:rPr>
            </w:pPr>
            <w:r w:rsidRPr="009A720C">
              <w:rPr>
                <w:rFonts w:ascii="Arial" w:eastAsia="Times New Roman" w:hAnsi="Arial" w:cs="Arial"/>
                <w:color w:val="000000"/>
                <w:lang w:val="en-BZ" w:eastAsia="cs-CZ"/>
              </w:rPr>
              <w:t>0,51</w:t>
            </w:r>
          </w:p>
        </w:tc>
      </w:tr>
    </w:tbl>
    <w:p w:rsidR="00143820" w:rsidRPr="009A720C" w:rsidRDefault="00143820" w:rsidP="001E7F16">
      <w:pPr>
        <w:jc w:val="both"/>
        <w:rPr>
          <w:lang w:val="en-BZ"/>
        </w:rPr>
      </w:pPr>
    </w:p>
    <w:sectPr w:rsidR="00143820" w:rsidRPr="009A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7YwMDSxNDUxNDNQ0lEKTi0uzszPAykwqgUA8ZxwQCwAAAA="/>
  </w:docVars>
  <w:rsids>
    <w:rsidRoot w:val="006E1C83"/>
    <w:rsid w:val="00020995"/>
    <w:rsid w:val="001278A0"/>
    <w:rsid w:val="00143820"/>
    <w:rsid w:val="0017237E"/>
    <w:rsid w:val="001D4EA5"/>
    <w:rsid w:val="001E7F16"/>
    <w:rsid w:val="0022152A"/>
    <w:rsid w:val="00241FB5"/>
    <w:rsid w:val="00263B90"/>
    <w:rsid w:val="00265C8F"/>
    <w:rsid w:val="002740FA"/>
    <w:rsid w:val="002E0B5B"/>
    <w:rsid w:val="003F4CF0"/>
    <w:rsid w:val="004D520F"/>
    <w:rsid w:val="0053666D"/>
    <w:rsid w:val="0058053E"/>
    <w:rsid w:val="005A3182"/>
    <w:rsid w:val="005A73C8"/>
    <w:rsid w:val="005B52B5"/>
    <w:rsid w:val="005B612B"/>
    <w:rsid w:val="005F5B02"/>
    <w:rsid w:val="00657CC8"/>
    <w:rsid w:val="006E1C83"/>
    <w:rsid w:val="00764E68"/>
    <w:rsid w:val="008A6EFD"/>
    <w:rsid w:val="008C7D26"/>
    <w:rsid w:val="00942A30"/>
    <w:rsid w:val="009A720C"/>
    <w:rsid w:val="009B0FFD"/>
    <w:rsid w:val="00A03447"/>
    <w:rsid w:val="00A45EEA"/>
    <w:rsid w:val="00B92FB8"/>
    <w:rsid w:val="00C00752"/>
    <w:rsid w:val="00C63622"/>
    <w:rsid w:val="00DE2807"/>
    <w:rsid w:val="00E6730B"/>
    <w:rsid w:val="00EB4F6D"/>
    <w:rsid w:val="00F05BF3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CF72"/>
  <w15:chartTrackingRefBased/>
  <w15:docId w15:val="{0ACDECC4-6B45-42A6-8BE5-ACDA00DC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HR\Kopie%20-%20Vysledky%20HR%20dotazniku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/>
              <a:t>Public meetings of the Institute</a:t>
            </a:r>
            <a:r>
              <a:rPr lang="cs-CZ" sz="1000" baseline="0"/>
              <a:t> Council 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List1!$A$19:$A$27</c:f>
              <c:strCache>
                <c:ptCount val="9"/>
                <c:pt idx="0">
                  <c:v>Lab</c:v>
                </c:pt>
                <c:pt idx="1">
                  <c:v>V1</c:v>
                </c:pt>
                <c:pt idx="2">
                  <c:v>V2</c:v>
                </c:pt>
                <c:pt idx="3">
                  <c:v>V3</c:v>
                </c:pt>
                <c:pt idx="4">
                  <c:v>V4</c:v>
                </c:pt>
                <c:pt idx="5">
                  <c:v>V5</c:v>
                </c:pt>
                <c:pt idx="6">
                  <c:v>V6</c:v>
                </c:pt>
                <c:pt idx="7">
                  <c:v>VO</c:v>
                </c:pt>
                <c:pt idx="8">
                  <c:v>THS</c:v>
                </c:pt>
              </c:strCache>
            </c:strRef>
          </c:cat>
          <c:val>
            <c:numRef>
              <c:f>List1!$B$19:$B$27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0.69565217391304346</c:v>
                </c:pt>
                <c:pt idx="4">
                  <c:v>0.6</c:v>
                </c:pt>
                <c:pt idx="5">
                  <c:v>0.66666666666666663</c:v>
                </c:pt>
                <c:pt idx="6">
                  <c:v>0.5</c:v>
                </c:pt>
                <c:pt idx="7">
                  <c:v>0.33333333333333331</c:v>
                </c:pt>
                <c:pt idx="8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03-4E29-98AC-3D88835563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4113728"/>
        <c:axId val="-734113184"/>
      </c:barChart>
      <c:catAx>
        <c:axId val="-73411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3184"/>
        <c:crosses val="autoZero"/>
        <c:auto val="1"/>
        <c:lblAlgn val="ctr"/>
        <c:lblOffset val="100"/>
        <c:noMultiLvlLbl val="0"/>
      </c:catAx>
      <c:valAx>
        <c:axId val="-73411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/>
              <a:t>More safety measures at IBP</a:t>
            </a:r>
            <a:endParaRPr lang="en-US" sz="1000"/>
          </a:p>
        </c:rich>
      </c:tx>
      <c:layout>
        <c:manualLayout>
          <c:xMode val="edge"/>
          <c:yMode val="edge"/>
          <c:x val="0.2396666666666666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List1!$D$19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List1!$A$20:$A$27</c:f>
              <c:strCache>
                <c:ptCount val="8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  <c:pt idx="6">
                  <c:v>VO</c:v>
                </c:pt>
                <c:pt idx="7">
                  <c:v>THS</c:v>
                </c:pt>
              </c:strCache>
            </c:strRef>
          </c:cat>
          <c:val>
            <c:numRef>
              <c:f>List1!$D$20:$D$27</c:f>
              <c:numCache>
                <c:formatCode>General</c:formatCode>
                <c:ptCount val="8"/>
                <c:pt idx="0">
                  <c:v>1</c:v>
                </c:pt>
                <c:pt idx="1">
                  <c:v>0.94444444444444442</c:v>
                </c:pt>
                <c:pt idx="2">
                  <c:v>0.66666666666666663</c:v>
                </c:pt>
                <c:pt idx="3">
                  <c:v>0.6</c:v>
                </c:pt>
                <c:pt idx="4">
                  <c:v>0.5</c:v>
                </c:pt>
                <c:pt idx="5">
                  <c:v>0.45454545454545453</c:v>
                </c:pt>
                <c:pt idx="6">
                  <c:v>0.4</c:v>
                </c:pt>
                <c:pt idx="7">
                  <c:v>0.26666666666666666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6F-40B5-8C16-72A3B56B4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4119168"/>
        <c:axId val="-734112640"/>
      </c:barChart>
      <c:catAx>
        <c:axId val="-73411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2640"/>
        <c:crosses val="autoZero"/>
        <c:auto val="1"/>
        <c:lblAlgn val="ctr"/>
        <c:lblOffset val="100"/>
        <c:noMultiLvlLbl val="0"/>
      </c:catAx>
      <c:valAx>
        <c:axId val="-73411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aseline="0"/>
              <a:t>Should be the popularisation of science a duty of the researcher</a:t>
            </a:r>
            <a:endParaRPr lang="cs-CZ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List1!$A$5:$A$13</c:f>
              <c:strCache>
                <c:ptCount val="9"/>
                <c:pt idx="0">
                  <c:v>Lab</c:v>
                </c:pt>
                <c:pt idx="1">
                  <c:v>V1</c:v>
                </c:pt>
                <c:pt idx="2">
                  <c:v>V2</c:v>
                </c:pt>
                <c:pt idx="3">
                  <c:v>V3</c:v>
                </c:pt>
                <c:pt idx="4">
                  <c:v>V4</c:v>
                </c:pt>
                <c:pt idx="5">
                  <c:v>V5</c:v>
                </c:pt>
                <c:pt idx="6">
                  <c:v>V6</c:v>
                </c:pt>
                <c:pt idx="7">
                  <c:v>VO</c:v>
                </c:pt>
                <c:pt idx="8">
                  <c:v>THS</c:v>
                </c:pt>
              </c:strCache>
            </c:strRef>
          </c:cat>
          <c:val>
            <c:numRef>
              <c:f>List1!$N$5:$N$13</c:f>
              <c:numCache>
                <c:formatCode>General</c:formatCode>
                <c:ptCount val="9"/>
                <c:pt idx="0">
                  <c:v>1</c:v>
                </c:pt>
                <c:pt idx="1">
                  <c:v>0.8</c:v>
                </c:pt>
                <c:pt idx="2">
                  <c:v>0.81818181818181823</c:v>
                </c:pt>
                <c:pt idx="3">
                  <c:v>0.66666666666666663</c:v>
                </c:pt>
                <c:pt idx="4">
                  <c:v>0.7</c:v>
                </c:pt>
                <c:pt idx="5">
                  <c:v>1</c:v>
                </c:pt>
                <c:pt idx="6">
                  <c:v>1</c:v>
                </c:pt>
                <c:pt idx="7">
                  <c:v>0.82</c:v>
                </c:pt>
                <c:pt idx="8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84-467F-8D3A-A35310A135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4119712"/>
        <c:axId val="-734112096"/>
      </c:barChart>
      <c:catAx>
        <c:axId val="-73411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2096"/>
        <c:crosses val="autoZero"/>
        <c:auto val="1"/>
        <c:lblAlgn val="ctr"/>
        <c:lblOffset val="100"/>
        <c:noMultiLvlLbl val="0"/>
      </c:catAx>
      <c:valAx>
        <c:axId val="-73411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/>
              <a:t>Is there a </a:t>
            </a:r>
            <a:r>
              <a:rPr lang="cs-CZ" sz="1000" b="0" i="0" u="none" strike="noStrike" baseline="0"/>
              <a:t>plagiarism at IBP</a:t>
            </a:r>
            <a:endParaRPr lang="cs-CZ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List1!$A$5:$A$13</c:f>
              <c:strCache>
                <c:ptCount val="9"/>
                <c:pt idx="0">
                  <c:v>Lab</c:v>
                </c:pt>
                <c:pt idx="1">
                  <c:v>V1</c:v>
                </c:pt>
                <c:pt idx="2">
                  <c:v>V2</c:v>
                </c:pt>
                <c:pt idx="3">
                  <c:v>V3</c:v>
                </c:pt>
                <c:pt idx="4">
                  <c:v>V4</c:v>
                </c:pt>
                <c:pt idx="5">
                  <c:v>V5</c:v>
                </c:pt>
                <c:pt idx="6">
                  <c:v>V6</c:v>
                </c:pt>
                <c:pt idx="7">
                  <c:v>VO</c:v>
                </c:pt>
                <c:pt idx="8">
                  <c:v>THS</c:v>
                </c:pt>
              </c:strCache>
            </c:strRef>
          </c:cat>
          <c:val>
            <c:numRef>
              <c:f>List1!$AQ$5:$AQ$13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4.3478260869565216E-2</c:v>
                </c:pt>
                <c:pt idx="3">
                  <c:v>7.1428571428571425E-2</c:v>
                </c:pt>
                <c:pt idx="4">
                  <c:v>0.22222222222222221</c:v>
                </c:pt>
                <c:pt idx="5">
                  <c:v>0.05</c:v>
                </c:pt>
                <c:pt idx="7">
                  <c:v>0</c:v>
                </c:pt>
                <c:pt idx="8">
                  <c:v>0.125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86-4A6F-86AB-C3D2F59EE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4111552"/>
        <c:axId val="-734110464"/>
      </c:barChart>
      <c:catAx>
        <c:axId val="-73411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0464"/>
        <c:crosses val="autoZero"/>
        <c:auto val="1"/>
        <c:lblAlgn val="ctr"/>
        <c:lblOffset val="100"/>
        <c:noMultiLvlLbl val="0"/>
      </c:catAx>
      <c:valAx>
        <c:axId val="-734110464"/>
        <c:scaling>
          <c:orientation val="minMax"/>
          <c:max val="1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11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IBP average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List1!$A$4</c:f>
              <c:strCache>
                <c:ptCount val="1"/>
                <c:pt idx="0">
                  <c:v>Průměr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List1!$B$4:$AR$4</c:f>
              <c:numCache>
                <c:formatCode>General</c:formatCode>
                <c:ptCount val="43"/>
                <c:pt idx="0">
                  <c:v>0.98360655737704916</c:v>
                </c:pt>
                <c:pt idx="1">
                  <c:v>0.92452830188679247</c:v>
                </c:pt>
                <c:pt idx="2">
                  <c:v>0.90476190476190477</c:v>
                </c:pt>
                <c:pt idx="3">
                  <c:v>0.89743589743589747</c:v>
                </c:pt>
                <c:pt idx="4">
                  <c:v>0.88405797101449279</c:v>
                </c:pt>
                <c:pt idx="5">
                  <c:v>0.88</c:v>
                </c:pt>
                <c:pt idx="6">
                  <c:v>0.87804878048780488</c:v>
                </c:pt>
                <c:pt idx="7">
                  <c:v>0.875</c:v>
                </c:pt>
                <c:pt idx="8">
                  <c:v>0.87179487179487181</c:v>
                </c:pt>
                <c:pt idx="9">
                  <c:v>0.84507042253521125</c:v>
                </c:pt>
                <c:pt idx="10">
                  <c:v>0.83606557377049184</c:v>
                </c:pt>
                <c:pt idx="11">
                  <c:v>0.83333333333333337</c:v>
                </c:pt>
                <c:pt idx="12">
                  <c:v>0.83</c:v>
                </c:pt>
                <c:pt idx="13">
                  <c:v>0.82258064516129037</c:v>
                </c:pt>
                <c:pt idx="14">
                  <c:v>0.80882352941176472</c:v>
                </c:pt>
                <c:pt idx="15">
                  <c:v>0.80373831775700932</c:v>
                </c:pt>
                <c:pt idx="16">
                  <c:v>0.76666666666666672</c:v>
                </c:pt>
                <c:pt idx="17">
                  <c:v>0.72164948453608246</c:v>
                </c:pt>
                <c:pt idx="18">
                  <c:v>0.72058823529411764</c:v>
                </c:pt>
                <c:pt idx="19">
                  <c:v>0.71641791044776115</c:v>
                </c:pt>
                <c:pt idx="20">
                  <c:v>0.70491803278688525</c:v>
                </c:pt>
                <c:pt idx="21">
                  <c:v>0.69863013698630139</c:v>
                </c:pt>
                <c:pt idx="22">
                  <c:v>0.68333333333333335</c:v>
                </c:pt>
                <c:pt idx="23">
                  <c:v>0.68253968253968256</c:v>
                </c:pt>
                <c:pt idx="24">
                  <c:v>0.65217391304347827</c:v>
                </c:pt>
                <c:pt idx="25">
                  <c:v>0.65151515151515149</c:v>
                </c:pt>
                <c:pt idx="26">
                  <c:v>0.63529411764705879</c:v>
                </c:pt>
                <c:pt idx="27">
                  <c:v>0.61956521739130432</c:v>
                </c:pt>
                <c:pt idx="28">
                  <c:v>0.57446808510638303</c:v>
                </c:pt>
                <c:pt idx="29">
                  <c:v>0.52238805970149249</c:v>
                </c:pt>
                <c:pt idx="30">
                  <c:v>0.50649350649350644</c:v>
                </c:pt>
                <c:pt idx="31">
                  <c:v>0.50574712643678166</c:v>
                </c:pt>
                <c:pt idx="32">
                  <c:v>0.45098039215686275</c:v>
                </c:pt>
                <c:pt idx="33">
                  <c:v>0.42857142857142855</c:v>
                </c:pt>
                <c:pt idx="34">
                  <c:v>0.39726027397260272</c:v>
                </c:pt>
                <c:pt idx="35">
                  <c:v>0.38095238095238093</c:v>
                </c:pt>
                <c:pt idx="36">
                  <c:v>0.375</c:v>
                </c:pt>
                <c:pt idx="37">
                  <c:v>0.30303030303030304</c:v>
                </c:pt>
                <c:pt idx="38">
                  <c:v>0.26415094339622641</c:v>
                </c:pt>
                <c:pt idx="39">
                  <c:v>0.22222222222222221</c:v>
                </c:pt>
                <c:pt idx="40">
                  <c:v>0.14102564102564102</c:v>
                </c:pt>
                <c:pt idx="41">
                  <c:v>7.0707070707070704E-2</c:v>
                </c:pt>
                <c:pt idx="42">
                  <c:v>5.7471264367816091E-2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BB-4EB8-8B80-8D90AA0C8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34109376"/>
        <c:axId val="-770000688"/>
      </c:lineChart>
      <c:catAx>
        <c:axId val="-734109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70000688"/>
        <c:crosses val="autoZero"/>
        <c:auto val="1"/>
        <c:lblAlgn val="ctr"/>
        <c:lblOffset val="100"/>
        <c:noMultiLvlLbl val="0"/>
      </c:catAx>
      <c:valAx>
        <c:axId val="-77000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3410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Stage V2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V2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List1!$B$7:$AR$7</c:f>
              <c:numCache>
                <c:formatCode>General</c:formatCode>
                <c:ptCount val="43"/>
                <c:pt idx="0">
                  <c:v>0.90909090909090906</c:v>
                </c:pt>
                <c:pt idx="1">
                  <c:v>0.92</c:v>
                </c:pt>
                <c:pt idx="2">
                  <c:v>0.94444444444444442</c:v>
                </c:pt>
                <c:pt idx="3">
                  <c:v>0.90909090909090906</c:v>
                </c:pt>
                <c:pt idx="4">
                  <c:v>0.88888888888888884</c:v>
                </c:pt>
                <c:pt idx="5">
                  <c:v>0.94736842105263153</c:v>
                </c:pt>
                <c:pt idx="6">
                  <c:v>0.94117647058823528</c:v>
                </c:pt>
                <c:pt idx="7">
                  <c:v>0.8</c:v>
                </c:pt>
                <c:pt idx="8">
                  <c:v>0.89473684210526316</c:v>
                </c:pt>
                <c:pt idx="9">
                  <c:v>0.72727272727272729</c:v>
                </c:pt>
                <c:pt idx="10">
                  <c:v>0.93333333333333335</c:v>
                </c:pt>
                <c:pt idx="11">
                  <c:v>1</c:v>
                </c:pt>
                <c:pt idx="12">
                  <c:v>0.81818181818181823</c:v>
                </c:pt>
                <c:pt idx="13">
                  <c:v>0.875</c:v>
                </c:pt>
                <c:pt idx="14">
                  <c:v>0.66666666666666663</c:v>
                </c:pt>
                <c:pt idx="15">
                  <c:v>0.70588235294117652</c:v>
                </c:pt>
                <c:pt idx="16">
                  <c:v>0.8125</c:v>
                </c:pt>
                <c:pt idx="17">
                  <c:v>0.5625</c:v>
                </c:pt>
                <c:pt idx="18">
                  <c:v>0.53846153846153844</c:v>
                </c:pt>
                <c:pt idx="19">
                  <c:v>0.6875</c:v>
                </c:pt>
                <c:pt idx="20">
                  <c:v>0.66666666666666663</c:v>
                </c:pt>
                <c:pt idx="21">
                  <c:v>0.875</c:v>
                </c:pt>
                <c:pt idx="22">
                  <c:v>0.5</c:v>
                </c:pt>
                <c:pt idx="23">
                  <c:v>0.5714285714285714</c:v>
                </c:pt>
                <c:pt idx="24">
                  <c:v>0.9285714285714286</c:v>
                </c:pt>
                <c:pt idx="25">
                  <c:v>0.66666666666666663</c:v>
                </c:pt>
                <c:pt idx="26">
                  <c:v>0.78947368421052633</c:v>
                </c:pt>
                <c:pt idx="27">
                  <c:v>0.53333333333333333</c:v>
                </c:pt>
                <c:pt idx="28">
                  <c:v>0.47058823529411764</c:v>
                </c:pt>
                <c:pt idx="29">
                  <c:v>0.66666666666666663</c:v>
                </c:pt>
                <c:pt idx="30">
                  <c:v>0.53846153846153844</c:v>
                </c:pt>
                <c:pt idx="31">
                  <c:v>0.66666666666666663</c:v>
                </c:pt>
                <c:pt idx="32">
                  <c:v>0.5</c:v>
                </c:pt>
                <c:pt idx="33">
                  <c:v>0.5</c:v>
                </c:pt>
                <c:pt idx="34">
                  <c:v>0.4375</c:v>
                </c:pt>
                <c:pt idx="35">
                  <c:v>0.35714285714285715</c:v>
                </c:pt>
                <c:pt idx="36">
                  <c:v>0.3888888888888889</c:v>
                </c:pt>
                <c:pt idx="37">
                  <c:v>0.14285714285714285</c:v>
                </c:pt>
                <c:pt idx="38">
                  <c:v>0.33333333333333331</c:v>
                </c:pt>
                <c:pt idx="39">
                  <c:v>0.23076923076923078</c:v>
                </c:pt>
                <c:pt idx="40">
                  <c:v>0.25</c:v>
                </c:pt>
                <c:pt idx="41">
                  <c:v>4.3478260869565216E-2</c:v>
                </c:pt>
                <c:pt idx="42">
                  <c:v>9.0909090909090912E-2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A6-4AD2-889D-79B405004D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70004496"/>
        <c:axId val="-777073536"/>
      </c:lineChart>
      <c:catAx>
        <c:axId val="-7700044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77073536"/>
        <c:crosses val="autoZero"/>
        <c:auto val="1"/>
        <c:lblAlgn val="ctr"/>
        <c:lblOffset val="100"/>
        <c:noMultiLvlLbl val="0"/>
      </c:catAx>
      <c:valAx>
        <c:axId val="-777073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7000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Stage V3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List1!$A$8</c:f>
              <c:strCache>
                <c:ptCount val="1"/>
                <c:pt idx="0">
                  <c:v>V3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List1!$B$8:$AR$8</c:f>
              <c:numCache>
                <c:formatCode>General</c:formatCode>
                <c:ptCount val="43"/>
                <c:pt idx="0">
                  <c:v>1</c:v>
                </c:pt>
                <c:pt idx="1">
                  <c:v>0.81481481481481477</c:v>
                </c:pt>
                <c:pt idx="2">
                  <c:v>0.9</c:v>
                </c:pt>
                <c:pt idx="3">
                  <c:v>0.875</c:v>
                </c:pt>
                <c:pt idx="4">
                  <c:v>0.82352941176470584</c:v>
                </c:pt>
                <c:pt idx="5">
                  <c:v>0.5</c:v>
                </c:pt>
                <c:pt idx="6">
                  <c:v>1</c:v>
                </c:pt>
                <c:pt idx="7">
                  <c:v>0.92</c:v>
                </c:pt>
                <c:pt idx="8">
                  <c:v>1</c:v>
                </c:pt>
                <c:pt idx="9">
                  <c:v>0.84615384615384615</c:v>
                </c:pt>
                <c:pt idx="10">
                  <c:v>0.7857142857142857</c:v>
                </c:pt>
                <c:pt idx="11">
                  <c:v>1</c:v>
                </c:pt>
                <c:pt idx="12">
                  <c:v>0.66666666666666663</c:v>
                </c:pt>
                <c:pt idx="13">
                  <c:v>0.94117647058823528</c:v>
                </c:pt>
                <c:pt idx="14">
                  <c:v>0.84615384615384615</c:v>
                </c:pt>
                <c:pt idx="15">
                  <c:v>0.75</c:v>
                </c:pt>
                <c:pt idx="16">
                  <c:v>0.8125</c:v>
                </c:pt>
                <c:pt idx="17">
                  <c:v>0.52631578947368418</c:v>
                </c:pt>
                <c:pt idx="18">
                  <c:v>0.83333333333333337</c:v>
                </c:pt>
                <c:pt idx="19">
                  <c:v>0.61111111111111116</c:v>
                </c:pt>
                <c:pt idx="20">
                  <c:v>0.72727272727272729</c:v>
                </c:pt>
                <c:pt idx="21">
                  <c:v>0.8571428571428571</c:v>
                </c:pt>
                <c:pt idx="22">
                  <c:v>0.83333333333333337</c:v>
                </c:pt>
                <c:pt idx="23">
                  <c:v>0.75</c:v>
                </c:pt>
                <c:pt idx="24">
                  <c:v>0.73684210526315785</c:v>
                </c:pt>
                <c:pt idx="25">
                  <c:v>0.5625</c:v>
                </c:pt>
                <c:pt idx="26">
                  <c:v>0.76190476190476186</c:v>
                </c:pt>
                <c:pt idx="27">
                  <c:v>0.58333333333333337</c:v>
                </c:pt>
                <c:pt idx="28">
                  <c:v>0.33333333333333331</c:v>
                </c:pt>
                <c:pt idx="29">
                  <c:v>0.73333333333333328</c:v>
                </c:pt>
                <c:pt idx="30">
                  <c:v>0.38095238095238093</c:v>
                </c:pt>
                <c:pt idx="31">
                  <c:v>0.68421052631578949</c:v>
                </c:pt>
                <c:pt idx="32">
                  <c:v>0.625</c:v>
                </c:pt>
                <c:pt idx="33">
                  <c:v>0.7142857142857143</c:v>
                </c:pt>
                <c:pt idx="34">
                  <c:v>0.5</c:v>
                </c:pt>
                <c:pt idx="35">
                  <c:v>0.40909090909090912</c:v>
                </c:pt>
                <c:pt idx="36">
                  <c:v>0.5</c:v>
                </c:pt>
                <c:pt idx="37">
                  <c:v>0.22222222222222221</c:v>
                </c:pt>
                <c:pt idx="38">
                  <c:v>0.36363636363636365</c:v>
                </c:pt>
                <c:pt idx="39">
                  <c:v>0.21428571428571427</c:v>
                </c:pt>
                <c:pt idx="40">
                  <c:v>0</c:v>
                </c:pt>
                <c:pt idx="41">
                  <c:v>7.1428571428571425E-2</c:v>
                </c:pt>
                <c:pt idx="42">
                  <c:v>5.5555555555555552E-2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29-403F-B40F-E619ABFCF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00123824"/>
        <c:axId val="-700116752"/>
      </c:lineChart>
      <c:catAx>
        <c:axId val="-7001238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00116752"/>
        <c:crosses val="autoZero"/>
        <c:auto val="1"/>
        <c:lblAlgn val="ctr"/>
        <c:lblOffset val="100"/>
        <c:noMultiLvlLbl val="0"/>
      </c:catAx>
      <c:valAx>
        <c:axId val="-70011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0012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Stage V5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V5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List1!$B$10:$AR$10</c:f>
              <c:numCache>
                <c:formatCode>General</c:formatCode>
                <c:ptCount val="43"/>
                <c:pt idx="0">
                  <c:v>1</c:v>
                </c:pt>
                <c:pt idx="1">
                  <c:v>1</c:v>
                </c:pt>
                <c:pt idx="2">
                  <c:v>0.8666666666666667</c:v>
                </c:pt>
                <c:pt idx="3">
                  <c:v>0.75</c:v>
                </c:pt>
                <c:pt idx="4">
                  <c:v>1</c:v>
                </c:pt>
                <c:pt idx="6">
                  <c:v>0.77777777777777779</c:v>
                </c:pt>
                <c:pt idx="7">
                  <c:v>0.95</c:v>
                </c:pt>
                <c:pt idx="8">
                  <c:v>0.83333333333333337</c:v>
                </c:pt>
                <c:pt idx="9">
                  <c:v>0.75</c:v>
                </c:pt>
                <c:pt idx="10">
                  <c:v>0.8</c:v>
                </c:pt>
                <c:pt idx="11">
                  <c:v>1</c:v>
                </c:pt>
                <c:pt idx="12">
                  <c:v>1</c:v>
                </c:pt>
                <c:pt idx="13">
                  <c:v>0.91666666666666663</c:v>
                </c:pt>
                <c:pt idx="14">
                  <c:v>0.6</c:v>
                </c:pt>
                <c:pt idx="15">
                  <c:v>0.95</c:v>
                </c:pt>
                <c:pt idx="16">
                  <c:v>0.9</c:v>
                </c:pt>
                <c:pt idx="17">
                  <c:v>0.88888888888888884</c:v>
                </c:pt>
                <c:pt idx="18">
                  <c:v>0.42857142857142855</c:v>
                </c:pt>
                <c:pt idx="19">
                  <c:v>0.77777777777777779</c:v>
                </c:pt>
                <c:pt idx="20">
                  <c:v>0.72727272727272729</c:v>
                </c:pt>
                <c:pt idx="21">
                  <c:v>0.61538461538461542</c:v>
                </c:pt>
                <c:pt idx="22">
                  <c:v>0.75</c:v>
                </c:pt>
                <c:pt idx="23">
                  <c:v>0.5714285714285714</c:v>
                </c:pt>
                <c:pt idx="24">
                  <c:v>0.23076923076923078</c:v>
                </c:pt>
                <c:pt idx="25">
                  <c:v>0.72727272727272729</c:v>
                </c:pt>
                <c:pt idx="26">
                  <c:v>0.5</c:v>
                </c:pt>
                <c:pt idx="27">
                  <c:v>0.77777777777777779</c:v>
                </c:pt>
                <c:pt idx="28">
                  <c:v>0.8666666666666667</c:v>
                </c:pt>
                <c:pt idx="29">
                  <c:v>0.41666666666666669</c:v>
                </c:pt>
                <c:pt idx="30">
                  <c:v>0.4</c:v>
                </c:pt>
                <c:pt idx="31">
                  <c:v>9.0909090909090912E-2</c:v>
                </c:pt>
                <c:pt idx="32">
                  <c:v>0.27272727272727271</c:v>
                </c:pt>
                <c:pt idx="33">
                  <c:v>0.25</c:v>
                </c:pt>
                <c:pt idx="34">
                  <c:v>0.1875</c:v>
                </c:pt>
                <c:pt idx="35">
                  <c:v>0.23076923076923078</c:v>
                </c:pt>
                <c:pt idx="36">
                  <c:v>0.14285714285714285</c:v>
                </c:pt>
                <c:pt idx="37">
                  <c:v>0.33333333333333331</c:v>
                </c:pt>
                <c:pt idx="38">
                  <c:v>0.21428571428571427</c:v>
                </c:pt>
                <c:pt idx="39">
                  <c:v>0.1875</c:v>
                </c:pt>
                <c:pt idx="40">
                  <c:v>0.11764705882352941</c:v>
                </c:pt>
                <c:pt idx="41">
                  <c:v>0.05</c:v>
                </c:pt>
                <c:pt idx="42">
                  <c:v>5.8823529411764705E-2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FC-4BA6-917C-66A11466C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700124368"/>
        <c:axId val="-700127088"/>
      </c:lineChart>
      <c:catAx>
        <c:axId val="-7001243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00127088"/>
        <c:crosses val="autoZero"/>
        <c:auto val="1"/>
        <c:lblAlgn val="ctr"/>
        <c:lblOffset val="100"/>
        <c:noMultiLvlLbl val="0"/>
      </c:catAx>
      <c:valAx>
        <c:axId val="-70012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70012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Biofyzikální ústav, Akademie věd České republiky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Kozubek Stanislav, DrSc.</dc:creator>
  <cp:keywords/>
  <dc:description/>
  <cp:lastModifiedBy>Eva</cp:lastModifiedBy>
  <cp:revision>2</cp:revision>
  <cp:lastPrinted>2021-08-31T10:56:00Z</cp:lastPrinted>
  <dcterms:created xsi:type="dcterms:W3CDTF">2021-08-31T11:01:00Z</dcterms:created>
  <dcterms:modified xsi:type="dcterms:W3CDTF">2021-08-31T11:01:00Z</dcterms:modified>
</cp:coreProperties>
</file>