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65F17" w14:textId="278FE5A3" w:rsidR="00AA0AC6" w:rsidRPr="00EC4718" w:rsidRDefault="00AA0AC6" w:rsidP="000B7C52">
      <w:pPr>
        <w:jc w:val="center"/>
        <w:rPr>
          <w:rFonts w:ascii="Arial" w:hAnsi="Arial" w:cs="Arial"/>
          <w:bCs/>
          <w:sz w:val="24"/>
          <w:szCs w:val="24"/>
        </w:rPr>
      </w:pPr>
      <w:r w:rsidRPr="00EC4718">
        <w:rPr>
          <w:rFonts w:ascii="Arial" w:hAnsi="Arial" w:cs="Arial"/>
          <w:bCs/>
          <w:sz w:val="24"/>
          <w:szCs w:val="24"/>
        </w:rPr>
        <w:t xml:space="preserve">Meeting </w:t>
      </w:r>
      <w:proofErr w:type="spellStart"/>
      <w:r w:rsidRPr="00EC4718">
        <w:rPr>
          <w:rFonts w:ascii="Arial" w:hAnsi="Arial" w:cs="Arial"/>
          <w:bCs/>
          <w:sz w:val="24"/>
          <w:szCs w:val="24"/>
        </w:rPr>
        <w:t>of</w:t>
      </w:r>
      <w:proofErr w:type="spellEnd"/>
      <w:r w:rsidRPr="00EC471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22A4B" w:rsidRPr="00EC4718">
        <w:rPr>
          <w:rFonts w:ascii="Arial" w:hAnsi="Arial" w:cs="Arial"/>
          <w:bCs/>
          <w:sz w:val="24"/>
          <w:szCs w:val="24"/>
        </w:rPr>
        <w:t>Steering</w:t>
      </w:r>
      <w:proofErr w:type="spellEnd"/>
      <w:r w:rsidR="00C22A4B" w:rsidRPr="00EC471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22A4B" w:rsidRPr="00EC4718">
        <w:rPr>
          <w:rFonts w:ascii="Arial" w:hAnsi="Arial" w:cs="Arial"/>
          <w:bCs/>
          <w:sz w:val="24"/>
          <w:szCs w:val="24"/>
        </w:rPr>
        <w:t>Committee</w:t>
      </w:r>
      <w:proofErr w:type="spellEnd"/>
      <w:r w:rsidRPr="00EC471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C4718">
        <w:rPr>
          <w:rFonts w:ascii="Arial" w:hAnsi="Arial" w:cs="Arial"/>
          <w:bCs/>
          <w:sz w:val="24"/>
          <w:szCs w:val="24"/>
        </w:rPr>
        <w:t>for</w:t>
      </w:r>
      <w:proofErr w:type="spellEnd"/>
      <w:r w:rsidR="000B7C52" w:rsidRPr="00EC4718">
        <w:rPr>
          <w:rFonts w:ascii="Arial" w:hAnsi="Arial" w:cs="Arial"/>
          <w:bCs/>
          <w:sz w:val="24"/>
          <w:szCs w:val="24"/>
        </w:rPr>
        <w:t xml:space="preserve"> HRAW</w:t>
      </w:r>
    </w:p>
    <w:p w14:paraId="6083AB19" w14:textId="26C91AFC" w:rsidR="00DA0043" w:rsidRPr="00EC4718" w:rsidRDefault="00EC4718" w:rsidP="000B7C52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November</w:t>
      </w:r>
      <w:proofErr w:type="spellEnd"/>
      <w:r w:rsidR="000B7C52" w:rsidRPr="00EC4718">
        <w:rPr>
          <w:rFonts w:ascii="Arial" w:hAnsi="Arial" w:cs="Arial"/>
          <w:bCs/>
          <w:sz w:val="24"/>
          <w:szCs w:val="24"/>
        </w:rPr>
        <w:t xml:space="preserve"> 3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0B7C52" w:rsidRPr="00EC4718">
        <w:rPr>
          <w:rFonts w:ascii="Arial" w:hAnsi="Arial" w:cs="Arial"/>
          <w:bCs/>
          <w:sz w:val="24"/>
          <w:szCs w:val="24"/>
        </w:rPr>
        <w:t>2022</w:t>
      </w:r>
      <w:r w:rsidR="00C22A4B" w:rsidRPr="00EC4718">
        <w:rPr>
          <w:rFonts w:ascii="Arial" w:hAnsi="Arial" w:cs="Arial"/>
          <w:bCs/>
          <w:sz w:val="24"/>
          <w:szCs w:val="24"/>
        </w:rPr>
        <w:t xml:space="preserve"> (12 h)</w:t>
      </w:r>
    </w:p>
    <w:p w14:paraId="2806B6A3" w14:textId="77777777" w:rsidR="00C22A4B" w:rsidRDefault="00C22A4B" w:rsidP="00C22A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proofErr w:type="spellStart"/>
      <w:r w:rsidRPr="00F14AC0">
        <w:rPr>
          <w:rFonts w:ascii="Arial" w:hAnsi="Arial" w:cs="Arial"/>
          <w:sz w:val="24"/>
          <w:szCs w:val="24"/>
          <w:u w:val="single"/>
        </w:rPr>
        <w:t>Participants</w:t>
      </w:r>
      <w:proofErr w:type="spellEnd"/>
      <w:r w:rsidRPr="00F14AC0">
        <w:rPr>
          <w:rFonts w:ascii="Arial" w:hAnsi="Arial" w:cs="Arial"/>
          <w:sz w:val="24"/>
          <w:szCs w:val="24"/>
          <w:u w:val="single"/>
        </w:rPr>
        <w:t>:</w:t>
      </w:r>
      <w:r w:rsidRPr="00F14AC0">
        <w:rPr>
          <w:rFonts w:ascii="Arial" w:hAnsi="Arial" w:cs="Arial"/>
          <w:sz w:val="24"/>
          <w:szCs w:val="24"/>
        </w:rPr>
        <w:t xml:space="preserve"> </w:t>
      </w:r>
      <w:r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E. </w:t>
      </w:r>
      <w:proofErr w:type="spellStart"/>
      <w:r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B</w:t>
      </w:r>
      <w:r w:rsidRPr="003606C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artova</w:t>
      </w:r>
      <w:proofErr w:type="spellEnd"/>
      <w:r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 S. K</w:t>
      </w:r>
      <w:r w:rsidRPr="003606C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ozubek</w:t>
      </w:r>
      <w:r w:rsidRPr="00F14AC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P. Vacek, R. Ulrich, P.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Cembis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</w:p>
    <w:p w14:paraId="26692BAF" w14:textId="3812D718" w:rsidR="00C22A4B" w:rsidRPr="004330C1" w:rsidRDefault="00C22A4B" w:rsidP="00C22A4B">
      <w:pPr>
        <w:rPr>
          <w:rFonts w:ascii="Arial" w:hAnsi="Arial" w:cs="Arial"/>
          <w:bCs/>
          <w:sz w:val="28"/>
          <w:szCs w:val="28"/>
        </w:rPr>
      </w:pPr>
      <w:r w:rsidRPr="004330C1">
        <w:rPr>
          <w:rFonts w:ascii="Arial" w:hAnsi="Arial" w:cs="Arial"/>
          <w:bCs/>
          <w:sz w:val="28"/>
          <w:szCs w:val="28"/>
        </w:rPr>
        <w:t>Program:</w:t>
      </w:r>
    </w:p>
    <w:p w14:paraId="215BA0AF" w14:textId="042FA050" w:rsidR="00C22A4B" w:rsidRDefault="00C22A4B" w:rsidP="00C22A4B">
      <w:pPr>
        <w:pStyle w:val="Odstavecseseznamem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Discussion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of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the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second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half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year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of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the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implementation</w:t>
      </w:r>
      <w:proofErr w:type="spellEnd"/>
      <w:r w:rsidR="00B50DD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and </w:t>
      </w:r>
      <w:proofErr w:type="spellStart"/>
      <w:r w:rsidR="00B50DD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the</w:t>
      </w:r>
      <w:proofErr w:type="spellEnd"/>
      <w:r w:rsidR="00B50DD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="00B50DD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whole</w:t>
      </w:r>
      <w:proofErr w:type="spellEnd"/>
      <w:r w:rsidR="00B50DD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="00B50DD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year</w:t>
      </w:r>
      <w:proofErr w:type="spellEnd"/>
    </w:p>
    <w:p w14:paraId="36C55FA8" w14:textId="77777777" w:rsidR="00B50DD3" w:rsidRDefault="00B50DD3" w:rsidP="00C22A4B">
      <w:pPr>
        <w:pStyle w:val="Odstavecseseznamem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05167">
        <w:rPr>
          <w:rFonts w:ascii="Arial" w:hAnsi="Arial" w:cs="Arial"/>
          <w:sz w:val="24"/>
          <w:szCs w:val="24"/>
        </w:rPr>
        <w:t xml:space="preserve">„HRS4R </w:t>
      </w:r>
      <w:proofErr w:type="spellStart"/>
      <w:r w:rsidRPr="00E05167">
        <w:rPr>
          <w:rFonts w:ascii="Arial" w:hAnsi="Arial" w:cs="Arial"/>
          <w:sz w:val="24"/>
          <w:szCs w:val="24"/>
        </w:rPr>
        <w:t>Info</w:t>
      </w:r>
      <w:proofErr w:type="spellEnd"/>
      <w:r w:rsidRPr="00E051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167">
        <w:rPr>
          <w:rFonts w:ascii="Arial" w:hAnsi="Arial" w:cs="Arial"/>
          <w:sz w:val="24"/>
          <w:szCs w:val="24"/>
        </w:rPr>
        <w:t>Day</w:t>
      </w:r>
      <w:proofErr w:type="spellEnd"/>
      <w:r w:rsidRPr="00E05167">
        <w:rPr>
          <w:rFonts w:ascii="Arial" w:hAnsi="Arial" w:cs="Arial"/>
          <w:sz w:val="24"/>
          <w:szCs w:val="24"/>
        </w:rPr>
        <w:t xml:space="preserve"> 2022“ </w:t>
      </w:r>
    </w:p>
    <w:p w14:paraId="7AB2C0DE" w14:textId="6AD421FF" w:rsidR="00C22A4B" w:rsidRDefault="00C22A4B" w:rsidP="00C22A4B">
      <w:pPr>
        <w:pStyle w:val="Odstavecseseznamem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Conclusions</w:t>
      </w:r>
      <w:proofErr w:type="spellEnd"/>
    </w:p>
    <w:p w14:paraId="67291232" w14:textId="77777777" w:rsidR="00B50DD3" w:rsidRDefault="00B50DD3" w:rsidP="00B50DD3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5A644A9C" w14:textId="0E6CEF93" w:rsidR="00C22A4B" w:rsidRDefault="00C22A4B" w:rsidP="00B50DD3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S. Kozubek </w:t>
      </w:r>
      <w:proofErr w:type="spellStart"/>
      <w:r>
        <w:rPr>
          <w:rFonts w:ascii="Arial" w:hAnsi="Arial" w:cs="Arial"/>
          <w:sz w:val="24"/>
          <w:szCs w:val="24"/>
        </w:rPr>
        <w:t>presented</w:t>
      </w:r>
      <w:proofErr w:type="spellEnd"/>
      <w:r>
        <w:rPr>
          <w:rFonts w:ascii="Arial" w:hAnsi="Arial" w:cs="Arial"/>
          <w:sz w:val="24"/>
          <w:szCs w:val="24"/>
        </w:rPr>
        <w:t xml:space="preserve"> sub-</w:t>
      </w:r>
      <w:proofErr w:type="spellStart"/>
      <w:r>
        <w:rPr>
          <w:rFonts w:ascii="Arial" w:hAnsi="Arial" w:cs="Arial"/>
          <w:sz w:val="24"/>
          <w:szCs w:val="24"/>
        </w:rPr>
        <w:t>actions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second </w:t>
      </w:r>
      <w:proofErr w:type="spellStart"/>
      <w:r>
        <w:rPr>
          <w:rFonts w:ascii="Arial" w:hAnsi="Arial" w:cs="Arial"/>
          <w:sz w:val="24"/>
          <w:szCs w:val="24"/>
        </w:rPr>
        <w:t>half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year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well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results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whole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year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50DD3">
        <w:rPr>
          <w:rFonts w:ascii="Arial" w:hAnsi="Arial" w:cs="Arial"/>
          <w:sz w:val="24"/>
          <w:szCs w:val="24"/>
        </w:rPr>
        <w:t>including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DD3">
        <w:rPr>
          <w:rFonts w:ascii="Arial" w:hAnsi="Arial" w:cs="Arial"/>
          <w:sz w:val="24"/>
          <w:szCs w:val="24"/>
        </w:rPr>
        <w:t>actions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st </w:t>
      </w:r>
      <w:proofErr w:type="spellStart"/>
      <w:r w:rsidR="00B50DD3">
        <w:rPr>
          <w:rFonts w:ascii="Arial" w:hAnsi="Arial" w:cs="Arial"/>
          <w:sz w:val="24"/>
          <w:szCs w:val="24"/>
        </w:rPr>
        <w:t>the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end </w:t>
      </w:r>
      <w:proofErr w:type="spellStart"/>
      <w:r w:rsidR="00B50DD3">
        <w:rPr>
          <w:rFonts w:ascii="Arial" w:hAnsi="Arial" w:cs="Arial"/>
          <w:sz w:val="24"/>
          <w:szCs w:val="24"/>
        </w:rPr>
        <w:t>of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DD3">
        <w:rPr>
          <w:rFonts w:ascii="Arial" w:hAnsi="Arial" w:cs="Arial"/>
          <w:sz w:val="24"/>
          <w:szCs w:val="24"/>
        </w:rPr>
        <w:t>the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DD3">
        <w:rPr>
          <w:rFonts w:ascii="Arial" w:hAnsi="Arial" w:cs="Arial"/>
          <w:sz w:val="24"/>
          <w:szCs w:val="24"/>
        </w:rPr>
        <w:t>year</w:t>
      </w:r>
      <w:proofErr w:type="spellEnd"/>
      <w:r w:rsidR="00B50DD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548F2D25" w14:textId="77777777" w:rsidR="00C22A4B" w:rsidRPr="00806CBA" w:rsidRDefault="00C22A4B" w:rsidP="00C22A4B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9062"/>
      </w:tblGrid>
      <w:tr w:rsidR="00C22A4B" w:rsidRPr="003A4D2F" w14:paraId="580B7A75" w14:textId="77777777" w:rsidTr="0017419E">
        <w:tc>
          <w:tcPr>
            <w:tcW w:w="9062" w:type="dxa"/>
          </w:tcPr>
          <w:p w14:paraId="13C3C28E" w14:textId="63250CC0" w:rsidR="00C22A4B" w:rsidRPr="003A4D2F" w:rsidRDefault="00C22A4B" w:rsidP="003742FC">
            <w:pPr>
              <w:pStyle w:val="Odstavecseseznamem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 xml:space="preserve">A1 – „mobility“: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regulation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elaborated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12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students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visited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foreign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laboratories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or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took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part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at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conferences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abroad</w:t>
            </w:r>
            <w:proofErr w:type="spellEnd"/>
          </w:p>
        </w:tc>
      </w:tr>
      <w:tr w:rsidR="00C22A4B" w:rsidRPr="003A4D2F" w14:paraId="16FE0E91" w14:textId="77777777" w:rsidTr="0017419E">
        <w:tc>
          <w:tcPr>
            <w:tcW w:w="9062" w:type="dxa"/>
          </w:tcPr>
          <w:p w14:paraId="4B65AF2C" w14:textId="2EA3316E" w:rsidR="00C22A4B" w:rsidRPr="003A4D2F" w:rsidRDefault="003742FC" w:rsidP="003742FC">
            <w:pPr>
              <w:pStyle w:val="Odstavecseseznamem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 –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recruitment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“: 8</w:t>
            </w:r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advertisements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subsequent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procedures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implemented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using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OTM-R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principles</w:t>
            </w:r>
            <w:proofErr w:type="spellEnd"/>
          </w:p>
        </w:tc>
      </w:tr>
      <w:tr w:rsidR="00C22A4B" w:rsidRPr="003A4D2F" w14:paraId="2504E354" w14:textId="77777777" w:rsidTr="0017419E">
        <w:tc>
          <w:tcPr>
            <w:tcW w:w="9062" w:type="dxa"/>
          </w:tcPr>
          <w:p w14:paraId="2B819383" w14:textId="5ED426A4" w:rsidR="00C22A4B" w:rsidRPr="003A4D2F" w:rsidRDefault="00C22A4B" w:rsidP="003742FC">
            <w:pPr>
              <w:pStyle w:val="Odstavecseseznamem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A3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translation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“:  </w:t>
            </w:r>
            <w:r w:rsidR="003742FC">
              <w:rPr>
                <w:rFonts w:ascii="Arial" w:hAnsi="Arial" w:cs="Arial"/>
                <w:sz w:val="24"/>
                <w:szCs w:val="24"/>
              </w:rPr>
              <w:t xml:space="preserve">basic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regulations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regulations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important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for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foreing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scientists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as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well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as HR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documents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has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been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translated</w:t>
            </w:r>
            <w:proofErr w:type="spellEnd"/>
          </w:p>
        </w:tc>
      </w:tr>
      <w:tr w:rsidR="00C22A4B" w:rsidRPr="003A4D2F" w14:paraId="433481EE" w14:textId="77777777" w:rsidTr="0017419E">
        <w:tc>
          <w:tcPr>
            <w:tcW w:w="9062" w:type="dxa"/>
          </w:tcPr>
          <w:p w14:paraId="4791E615" w14:textId="16C91056" w:rsidR="00C22A4B" w:rsidRPr="003A4D2F" w:rsidRDefault="00C22A4B" w:rsidP="003742FC">
            <w:pPr>
              <w:pStyle w:val="Odstavecseseznamem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A4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evaluation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“: </w:t>
            </w:r>
            <w:r w:rsidR="003742FC">
              <w:rPr>
                <w:rFonts w:ascii="Arial" w:hAnsi="Arial" w:cs="Arial"/>
                <w:sz w:val="24"/>
                <w:szCs w:val="24"/>
              </w:rPr>
              <w:t xml:space="preserve">1)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national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evaluation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has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been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Institute has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been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ranked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to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„A“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cathegory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742FC">
              <w:rPr>
                <w:rFonts w:ascii="Arial" w:hAnsi="Arial" w:cs="Arial"/>
                <w:sz w:val="24"/>
                <w:szCs w:val="24"/>
              </w:rPr>
              <w:t xml:space="preserve"> 2)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bibliometry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has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been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elaborated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best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department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should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be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rewarded</w:t>
            </w:r>
            <w:proofErr w:type="spellEnd"/>
          </w:p>
        </w:tc>
      </w:tr>
      <w:tr w:rsidR="00C22A4B" w:rsidRPr="003A4D2F" w14:paraId="74B584ED" w14:textId="77777777" w:rsidTr="0017419E">
        <w:tc>
          <w:tcPr>
            <w:tcW w:w="9062" w:type="dxa"/>
          </w:tcPr>
          <w:p w14:paraId="50695A2E" w14:textId="4B440FB6" w:rsidR="00C22A4B" w:rsidRPr="003A4D2F" w:rsidRDefault="00C22A4B" w:rsidP="002F7AA7">
            <w:pPr>
              <w:pStyle w:val="Odstavecseseznamem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A5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awards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“: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remains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to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be</w:t>
            </w:r>
            <w:proofErr w:type="spellEnd"/>
            <w:r w:rsidR="003742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42FC">
              <w:rPr>
                <w:rFonts w:ascii="Arial" w:hAnsi="Arial" w:cs="Arial"/>
                <w:sz w:val="24"/>
                <w:szCs w:val="24"/>
              </w:rPr>
              <w:t>realized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best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PhD student,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application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award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internal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cooperation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award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methodology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award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best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scientific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paper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year</w:t>
            </w:r>
            <w:proofErr w:type="spellEnd"/>
          </w:p>
        </w:tc>
      </w:tr>
      <w:tr w:rsidR="00C22A4B" w:rsidRPr="003A4D2F" w14:paraId="516586FE" w14:textId="77777777" w:rsidTr="0017419E">
        <w:tc>
          <w:tcPr>
            <w:tcW w:w="9062" w:type="dxa"/>
          </w:tcPr>
          <w:p w14:paraId="72B97FB7" w14:textId="0DC0A154" w:rsidR="00C22A4B" w:rsidRPr="003A4D2F" w:rsidRDefault="00C22A4B" w:rsidP="002F7AA7">
            <w:pPr>
              <w:pStyle w:val="Odstavecseseznamem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A6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attestations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“: </w:t>
            </w:r>
            <w:r w:rsidR="002F7AA7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attestations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has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been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performed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>, on-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site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attestation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will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be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held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November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update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regulation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on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attestations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will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be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considered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22A4B" w:rsidRPr="003A4D2F" w14:paraId="605274D4" w14:textId="77777777" w:rsidTr="0017419E">
        <w:tc>
          <w:tcPr>
            <w:tcW w:w="9062" w:type="dxa"/>
          </w:tcPr>
          <w:p w14:paraId="3EF88D53" w14:textId="0638504C" w:rsidR="00C22A4B" w:rsidRPr="003A4D2F" w:rsidRDefault="00C22A4B" w:rsidP="002F7AA7">
            <w:pPr>
              <w:pStyle w:val="Odstavecseseznamem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 xml:space="preserve">A7 – „gender“: </w:t>
            </w:r>
            <w:r w:rsidR="002F7AA7">
              <w:rPr>
                <w:rFonts w:ascii="Arial" w:hAnsi="Arial" w:cs="Arial"/>
                <w:sz w:val="24"/>
                <w:szCs w:val="24"/>
              </w:rPr>
              <w:t>6</w:t>
            </w:r>
            <w:r w:rsidRPr="003A4D2F">
              <w:rPr>
                <w:rFonts w:ascii="Arial" w:hAnsi="Arial" w:cs="Arial"/>
                <w:sz w:val="24"/>
                <w:szCs w:val="24"/>
              </w:rPr>
              <w:t xml:space="preserve"> sub-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activitees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(GEP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elaborated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research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emeritus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approved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for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2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former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employees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medals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approved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fo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2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employees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F40BA0">
              <w:rPr>
                <w:rFonts w:ascii="Arial" w:hAnsi="Arial" w:cs="Arial"/>
                <w:sz w:val="24"/>
                <w:szCs w:val="24"/>
              </w:rPr>
              <w:t>letter</w:t>
            </w:r>
            <w:proofErr w:type="spellEnd"/>
            <w:r w:rsidR="00F40B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0BA0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="00F40B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0BA0">
              <w:rPr>
                <w:rFonts w:ascii="Arial" w:hAnsi="Arial" w:cs="Arial"/>
                <w:sz w:val="24"/>
                <w:szCs w:val="24"/>
              </w:rPr>
              <w:t>thanks</w:t>
            </w:r>
            <w:proofErr w:type="spellEnd"/>
            <w:r w:rsidR="00F40B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F7AA7">
              <w:rPr>
                <w:rFonts w:ascii="Arial" w:hAnsi="Arial" w:cs="Arial"/>
                <w:sz w:val="24"/>
                <w:szCs w:val="24"/>
              </w:rPr>
              <w:t xml:space="preserve">senior club </w:t>
            </w:r>
            <w:proofErr w:type="spellStart"/>
            <w:r w:rsidR="002F7AA7">
              <w:rPr>
                <w:rFonts w:ascii="Arial" w:hAnsi="Arial" w:cs="Arial"/>
                <w:sz w:val="24"/>
                <w:szCs w:val="24"/>
              </w:rPr>
              <w:t>founded</w:t>
            </w:r>
            <w:proofErr w:type="spellEnd"/>
            <w:r w:rsidR="002F7AA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40BA0"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proofErr w:type="spellStart"/>
            <w:r w:rsidR="00F40BA0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="00F40B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0BA0">
              <w:rPr>
                <w:rFonts w:ascii="Arial" w:hAnsi="Arial" w:cs="Arial"/>
                <w:sz w:val="24"/>
                <w:szCs w:val="24"/>
              </w:rPr>
              <w:t>seniors</w:t>
            </w:r>
            <w:proofErr w:type="spellEnd"/>
            <w:r w:rsidR="00F40B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0BA0">
              <w:rPr>
                <w:rFonts w:ascii="Arial" w:hAnsi="Arial" w:cs="Arial"/>
                <w:sz w:val="24"/>
                <w:szCs w:val="24"/>
              </w:rPr>
              <w:t>with</w:t>
            </w:r>
            <w:proofErr w:type="spellEnd"/>
            <w:r w:rsidR="00F40B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0BA0">
              <w:rPr>
                <w:rFonts w:ascii="Arial" w:hAnsi="Arial" w:cs="Arial"/>
                <w:sz w:val="24"/>
                <w:szCs w:val="24"/>
              </w:rPr>
              <w:t>young</w:t>
            </w:r>
            <w:proofErr w:type="spellEnd"/>
            <w:r w:rsidR="00F40B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0BA0">
              <w:rPr>
                <w:rFonts w:ascii="Arial" w:hAnsi="Arial" w:cs="Arial"/>
                <w:sz w:val="24"/>
                <w:szCs w:val="24"/>
              </w:rPr>
              <w:t>scientists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22A4B" w:rsidRPr="003A4D2F" w14:paraId="28D8BEF8" w14:textId="77777777" w:rsidTr="0017419E">
        <w:tc>
          <w:tcPr>
            <w:tcW w:w="9062" w:type="dxa"/>
          </w:tcPr>
          <w:p w14:paraId="5658D463" w14:textId="2049026F" w:rsidR="00C22A4B" w:rsidRPr="003A4D2F" w:rsidRDefault="00F40BA0" w:rsidP="00F40BA0">
            <w:pPr>
              <w:pStyle w:val="Odstavecseseznamem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A8 –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courses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“: 7</w:t>
            </w:r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sub-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activities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course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on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evaluation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rethorics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biostatistics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, ERC,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language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computer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graphics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, gender </w:t>
            </w:r>
            <w:r>
              <w:rPr>
                <w:rFonts w:ascii="Arial" w:hAnsi="Arial" w:cs="Arial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leadership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course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22A4B" w:rsidRPr="003A4D2F" w14:paraId="40667153" w14:textId="77777777" w:rsidTr="0017419E">
        <w:tc>
          <w:tcPr>
            <w:tcW w:w="9062" w:type="dxa"/>
          </w:tcPr>
          <w:p w14:paraId="1E23043E" w14:textId="269C3FF0" w:rsidR="00C22A4B" w:rsidRPr="003A4D2F" w:rsidRDefault="00C22A4B" w:rsidP="00F40BA0">
            <w:pPr>
              <w:pStyle w:val="Odstavecseseznamem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A9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child-corner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“: </w:t>
            </w:r>
            <w:r w:rsidR="00F40BA0"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="00F40BA0">
              <w:rPr>
                <w:rFonts w:ascii="Arial" w:hAnsi="Arial" w:cs="Arial"/>
                <w:sz w:val="24"/>
                <w:szCs w:val="24"/>
              </w:rPr>
              <w:t>Elánek</w:t>
            </w:r>
            <w:proofErr w:type="spellEnd"/>
            <w:r w:rsidR="00F40B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0BA0">
              <w:rPr>
                <w:rFonts w:ascii="Arial" w:hAnsi="Arial" w:cs="Arial"/>
                <w:sz w:val="24"/>
                <w:szCs w:val="24"/>
              </w:rPr>
              <w:t>children’s</w:t>
            </w:r>
            <w:proofErr w:type="spellEnd"/>
            <w:r w:rsidR="00F40B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0BA0">
              <w:rPr>
                <w:rFonts w:ascii="Arial" w:hAnsi="Arial" w:cs="Arial"/>
                <w:sz w:val="24"/>
                <w:szCs w:val="24"/>
              </w:rPr>
              <w:t>group</w:t>
            </w:r>
            <w:proofErr w:type="spellEnd"/>
            <w:r w:rsidR="00F40BA0">
              <w:rPr>
                <w:rFonts w:ascii="Arial" w:hAnsi="Arial" w:cs="Arial"/>
                <w:sz w:val="24"/>
                <w:szCs w:val="24"/>
              </w:rPr>
              <w:t xml:space="preserve">“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functioning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40BA0"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="00F40BA0">
              <w:rPr>
                <w:rFonts w:ascii="Arial" w:hAnsi="Arial" w:cs="Arial"/>
                <w:sz w:val="24"/>
                <w:szCs w:val="24"/>
              </w:rPr>
              <w:t>Children’s</w:t>
            </w:r>
            <w:proofErr w:type="spellEnd"/>
            <w:r w:rsidR="00F40B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0BA0">
              <w:rPr>
                <w:rFonts w:ascii="Arial" w:hAnsi="Arial" w:cs="Arial"/>
                <w:sz w:val="24"/>
                <w:szCs w:val="24"/>
              </w:rPr>
              <w:t>Day</w:t>
            </w:r>
            <w:proofErr w:type="spellEnd"/>
            <w:r w:rsidR="00F40BA0">
              <w:rPr>
                <w:rFonts w:ascii="Arial" w:hAnsi="Arial" w:cs="Arial"/>
                <w:sz w:val="24"/>
                <w:szCs w:val="24"/>
              </w:rPr>
              <w:t xml:space="preserve">“ has </w:t>
            </w:r>
            <w:proofErr w:type="spellStart"/>
            <w:r w:rsidR="00F40BA0">
              <w:rPr>
                <w:rFonts w:ascii="Arial" w:hAnsi="Arial" w:cs="Arial"/>
                <w:sz w:val="24"/>
                <w:szCs w:val="24"/>
              </w:rPr>
              <w:t>been</w:t>
            </w:r>
            <w:proofErr w:type="spellEnd"/>
            <w:r w:rsidR="00F40B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0BA0">
              <w:rPr>
                <w:rFonts w:ascii="Arial" w:hAnsi="Arial" w:cs="Arial"/>
                <w:sz w:val="24"/>
                <w:szCs w:val="24"/>
              </w:rPr>
              <w:t>held</w:t>
            </w:r>
            <w:proofErr w:type="spellEnd"/>
            <w:r w:rsidR="00F40BA0">
              <w:rPr>
                <w:rFonts w:ascii="Arial" w:hAnsi="Arial" w:cs="Arial"/>
                <w:sz w:val="24"/>
                <w:szCs w:val="24"/>
              </w:rPr>
              <w:t xml:space="preserve"> on June 3, 2022 </w:t>
            </w:r>
          </w:p>
        </w:tc>
      </w:tr>
      <w:tr w:rsidR="00C22A4B" w:rsidRPr="003A4D2F" w14:paraId="35F455DC" w14:textId="77777777" w:rsidTr="0017419E">
        <w:tc>
          <w:tcPr>
            <w:tcW w:w="9062" w:type="dxa"/>
          </w:tcPr>
          <w:p w14:paraId="35165CD6" w14:textId="0DA4397D" w:rsidR="00C22A4B" w:rsidRPr="003A4D2F" w:rsidRDefault="00F40BA0" w:rsidP="00F40BA0">
            <w:pPr>
              <w:pStyle w:val="Odstavecseseznamem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A10 –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lectures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“: 11</w:t>
            </w:r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sub-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activities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methodological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symposium,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lectures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by prof. Makova, dr.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Fulkova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prof.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Kumar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Director’s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Collegium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establishement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„Czech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Biophysical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Association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“,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methodological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seminar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Machines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Methods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“, P. Kania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lecture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ISAB meeting, IBP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Career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Day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22A4B" w:rsidRPr="003A4D2F" w14:paraId="702DCE60" w14:textId="77777777" w:rsidTr="0017419E">
        <w:tc>
          <w:tcPr>
            <w:tcW w:w="9062" w:type="dxa"/>
          </w:tcPr>
          <w:p w14:paraId="798EA3C6" w14:textId="6201C313" w:rsidR="00C22A4B" w:rsidRPr="003A4D2F" w:rsidRDefault="005E3294" w:rsidP="00C22A4B">
            <w:pPr>
              <w:pStyle w:val="Odstavecseseznamem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A11 – „PR“: 10</w:t>
            </w:r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sub-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activities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partially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spring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concert,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reports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on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Facebook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traditional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activities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book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by E.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Kejnovsky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Milestones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22A4B" w:rsidRPr="003A4D2F">
              <w:rPr>
                <w:rFonts w:ascii="Arial" w:hAnsi="Arial" w:cs="Arial"/>
                <w:sz w:val="24"/>
                <w:szCs w:val="24"/>
              </w:rPr>
              <w:t>genetics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Fair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Science, Mendel Festival,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lectures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Secrets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“ by E.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Kejnovsky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„New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achievements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research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anit-cancer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drugs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“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Facebook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Twitter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Night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Scientists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Open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Day</w:t>
            </w:r>
            <w:proofErr w:type="spellEnd"/>
            <w:r w:rsidR="00C22A4B" w:rsidRPr="003A4D2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22A4B" w:rsidRPr="003A4D2F" w14:paraId="18BF28AD" w14:textId="77777777" w:rsidTr="0017419E">
        <w:tc>
          <w:tcPr>
            <w:tcW w:w="9062" w:type="dxa"/>
          </w:tcPr>
          <w:p w14:paraId="28532500" w14:textId="6D00B961" w:rsidR="00C22A4B" w:rsidRPr="003A4D2F" w:rsidRDefault="00C22A4B" w:rsidP="005E3294">
            <w:pPr>
              <w:pStyle w:val="Odstavecseseznamem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 xml:space="preserve">A12 –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grants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E3294">
              <w:rPr>
                <w:rFonts w:ascii="Arial" w:hAnsi="Arial" w:cs="Arial"/>
                <w:sz w:val="24"/>
                <w:szCs w:val="24"/>
              </w:rPr>
              <w:t>PPLZ</w:t>
            </w:r>
            <w:r>
              <w:rPr>
                <w:rFonts w:ascii="Arial" w:hAnsi="Arial" w:cs="Arial"/>
                <w:sz w:val="24"/>
                <w:szCs w:val="24"/>
              </w:rPr>
              <w:t xml:space="preserve">“: </w:t>
            </w:r>
            <w:r w:rsidR="005E3294">
              <w:rPr>
                <w:rFonts w:ascii="Arial" w:hAnsi="Arial" w:cs="Arial"/>
                <w:sz w:val="24"/>
                <w:szCs w:val="24"/>
              </w:rPr>
              <w:t>5</w:t>
            </w:r>
            <w:r w:rsidRPr="003A4D2F">
              <w:rPr>
                <w:rFonts w:ascii="Arial" w:hAnsi="Arial" w:cs="Arial"/>
                <w:sz w:val="24"/>
                <w:szCs w:val="24"/>
              </w:rPr>
              <w:t xml:space="preserve"> sub-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activities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(grant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applications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to GACR, support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human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resources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3294">
              <w:rPr>
                <w:rFonts w:ascii="Arial" w:hAnsi="Arial" w:cs="Arial"/>
                <w:sz w:val="24"/>
                <w:szCs w:val="24"/>
              </w:rPr>
              <w:t xml:space="preserve">– 2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applications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accepted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January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, Otto Wichterle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prize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, support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human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resorces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 – 1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application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accepted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, 2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further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applications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suggested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22A4B" w:rsidRPr="003A4D2F" w14:paraId="1A436C8B" w14:textId="77777777" w:rsidTr="0017419E">
        <w:tc>
          <w:tcPr>
            <w:tcW w:w="9062" w:type="dxa"/>
          </w:tcPr>
          <w:p w14:paraId="788826BF" w14:textId="5B440EAC" w:rsidR="00C22A4B" w:rsidRPr="003A4D2F" w:rsidRDefault="00C22A4B" w:rsidP="005E3294">
            <w:pPr>
              <w:pStyle w:val="Odstavecseseznamem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A13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evaluation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students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by ISAB“: </w:t>
            </w:r>
            <w:r w:rsidR="005E3294">
              <w:rPr>
                <w:rFonts w:ascii="Arial" w:hAnsi="Arial" w:cs="Arial"/>
                <w:sz w:val="24"/>
                <w:szCs w:val="24"/>
              </w:rPr>
              <w:t xml:space="preserve">ISAB meeting has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been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held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 on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October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 6, 2022,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presentations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3294">
              <w:rPr>
                <w:rFonts w:ascii="Arial" w:hAnsi="Arial" w:cs="Arial"/>
                <w:sz w:val="24"/>
                <w:szCs w:val="24"/>
              </w:rPr>
              <w:t>young</w:t>
            </w:r>
            <w:proofErr w:type="spellEnd"/>
            <w:r w:rsidR="00B50D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50DD3">
              <w:rPr>
                <w:rFonts w:ascii="Arial" w:hAnsi="Arial" w:cs="Arial"/>
                <w:sz w:val="24"/>
                <w:szCs w:val="24"/>
              </w:rPr>
              <w:t>scientists</w:t>
            </w:r>
            <w:proofErr w:type="spellEnd"/>
            <w:r w:rsidR="00B50DD3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="00B50DD3">
              <w:rPr>
                <w:rFonts w:ascii="Arial" w:hAnsi="Arial" w:cs="Arial"/>
                <w:sz w:val="24"/>
                <w:szCs w:val="24"/>
              </w:rPr>
              <w:t>students</w:t>
            </w:r>
            <w:proofErr w:type="spellEnd"/>
            <w:r w:rsidR="00B50DD3">
              <w:rPr>
                <w:rFonts w:ascii="Arial" w:hAnsi="Arial" w:cs="Arial"/>
                <w:sz w:val="24"/>
                <w:szCs w:val="24"/>
              </w:rPr>
              <w:t xml:space="preserve"> has </w:t>
            </w:r>
            <w:proofErr w:type="spellStart"/>
            <w:r w:rsidR="00B50DD3">
              <w:rPr>
                <w:rFonts w:ascii="Arial" w:hAnsi="Arial" w:cs="Arial"/>
                <w:sz w:val="24"/>
                <w:szCs w:val="24"/>
              </w:rPr>
              <w:t>been</w:t>
            </w:r>
            <w:proofErr w:type="spellEnd"/>
            <w:r w:rsidR="00B50D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50DD3">
              <w:rPr>
                <w:rFonts w:ascii="Arial" w:hAnsi="Arial" w:cs="Arial"/>
                <w:sz w:val="24"/>
                <w:szCs w:val="24"/>
              </w:rPr>
              <w:t>evaluated</w:t>
            </w:r>
            <w:proofErr w:type="spellEnd"/>
            <w:r w:rsidR="005E32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22A4B" w:rsidRPr="003A4D2F" w14:paraId="6B8028D5" w14:textId="77777777" w:rsidTr="0017419E">
        <w:tc>
          <w:tcPr>
            <w:tcW w:w="9062" w:type="dxa"/>
          </w:tcPr>
          <w:p w14:paraId="27A7CD6A" w14:textId="665876D8" w:rsidR="00C22A4B" w:rsidRPr="003A4D2F" w:rsidRDefault="00C22A4B" w:rsidP="00B50DD3">
            <w:pPr>
              <w:pStyle w:val="Odstavecseseznamem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A4D2F">
              <w:rPr>
                <w:rFonts w:ascii="Arial" w:hAnsi="Arial" w:cs="Arial"/>
                <w:sz w:val="24"/>
                <w:szCs w:val="24"/>
              </w:rPr>
              <w:t>A14 – „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summer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schools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“: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schools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for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4D2F">
              <w:rPr>
                <w:rFonts w:ascii="Arial" w:hAnsi="Arial" w:cs="Arial"/>
                <w:sz w:val="24"/>
                <w:szCs w:val="24"/>
              </w:rPr>
              <w:t>children</w:t>
            </w:r>
            <w:proofErr w:type="spellEnd"/>
            <w:r w:rsidRPr="003A4D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50DD3">
              <w:rPr>
                <w:rFonts w:ascii="Arial" w:hAnsi="Arial" w:cs="Arial"/>
                <w:sz w:val="24"/>
                <w:szCs w:val="24"/>
              </w:rPr>
              <w:t>have</w:t>
            </w:r>
            <w:proofErr w:type="spellEnd"/>
            <w:r w:rsidR="00B50D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50DD3">
              <w:rPr>
                <w:rFonts w:ascii="Arial" w:hAnsi="Arial" w:cs="Arial"/>
                <w:sz w:val="24"/>
                <w:szCs w:val="24"/>
              </w:rPr>
              <w:t>been</w:t>
            </w:r>
            <w:proofErr w:type="spellEnd"/>
            <w:r w:rsidR="00B50D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50DD3">
              <w:rPr>
                <w:rFonts w:ascii="Arial" w:hAnsi="Arial" w:cs="Arial"/>
                <w:sz w:val="24"/>
                <w:szCs w:val="24"/>
              </w:rPr>
              <w:t>realized</w:t>
            </w:r>
            <w:proofErr w:type="spellEnd"/>
            <w:r w:rsidR="00B50DD3">
              <w:rPr>
                <w:rFonts w:ascii="Arial" w:hAnsi="Arial" w:cs="Arial"/>
                <w:sz w:val="24"/>
                <w:szCs w:val="24"/>
              </w:rPr>
              <w:t xml:space="preserve"> on</w:t>
            </w:r>
            <w:r w:rsidRPr="003A4D2F">
              <w:rPr>
                <w:rFonts w:ascii="Arial" w:hAnsi="Arial" w:cs="Arial"/>
                <w:sz w:val="24"/>
                <w:szCs w:val="24"/>
              </w:rPr>
              <w:t xml:space="preserve"> July 18 – July 22, 2022 and on August 8 – August 12, 2022</w:t>
            </w:r>
            <w:r w:rsidR="00B50DD3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B50DD3">
              <w:rPr>
                <w:rFonts w:ascii="Arial" w:hAnsi="Arial" w:cs="Arial"/>
                <w:sz w:val="24"/>
                <w:szCs w:val="24"/>
              </w:rPr>
              <w:t>detailed</w:t>
            </w:r>
            <w:proofErr w:type="spellEnd"/>
            <w:r w:rsidR="00B50D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50DD3">
              <w:rPr>
                <w:rFonts w:ascii="Arial" w:hAnsi="Arial" w:cs="Arial"/>
                <w:sz w:val="24"/>
                <w:szCs w:val="24"/>
              </w:rPr>
              <w:t>description</w:t>
            </w:r>
            <w:proofErr w:type="spellEnd"/>
            <w:r w:rsidR="00B50DD3">
              <w:rPr>
                <w:rFonts w:ascii="Arial" w:hAnsi="Arial" w:cs="Arial"/>
                <w:sz w:val="24"/>
                <w:szCs w:val="24"/>
              </w:rPr>
              <w:t xml:space="preserve"> has </w:t>
            </w:r>
            <w:proofErr w:type="spellStart"/>
            <w:r w:rsidR="00B50DD3">
              <w:rPr>
                <w:rFonts w:ascii="Arial" w:hAnsi="Arial" w:cs="Arial"/>
                <w:sz w:val="24"/>
                <w:szCs w:val="24"/>
              </w:rPr>
              <w:t>been</w:t>
            </w:r>
            <w:proofErr w:type="spellEnd"/>
            <w:r w:rsidR="00B50D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50DD3">
              <w:rPr>
                <w:rFonts w:ascii="Arial" w:hAnsi="Arial" w:cs="Arial"/>
                <w:sz w:val="24"/>
                <w:szCs w:val="24"/>
              </w:rPr>
              <w:t>translated</w:t>
            </w:r>
            <w:proofErr w:type="spellEnd"/>
            <w:r w:rsidR="00B50D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50DD3">
              <w:rPr>
                <w:rFonts w:ascii="Arial" w:hAnsi="Arial" w:cs="Arial"/>
                <w:sz w:val="24"/>
                <w:szCs w:val="24"/>
              </w:rPr>
              <w:t>into</w:t>
            </w:r>
            <w:proofErr w:type="spellEnd"/>
            <w:r w:rsidR="00B50D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50DD3">
              <w:rPr>
                <w:rFonts w:ascii="Arial" w:hAnsi="Arial" w:cs="Arial"/>
                <w:sz w:val="24"/>
                <w:szCs w:val="24"/>
              </w:rPr>
              <w:t>English</w:t>
            </w:r>
            <w:proofErr w:type="spellEnd"/>
          </w:p>
        </w:tc>
      </w:tr>
    </w:tbl>
    <w:p w14:paraId="13FA7668" w14:textId="6B3E9197" w:rsidR="000B7C52" w:rsidRDefault="000B7C52" w:rsidP="000B7C52">
      <w:pPr>
        <w:rPr>
          <w:rFonts w:ascii="Arial" w:hAnsi="Arial" w:cs="Arial"/>
          <w:sz w:val="24"/>
          <w:szCs w:val="24"/>
        </w:rPr>
      </w:pPr>
    </w:p>
    <w:p w14:paraId="14B75E43" w14:textId="1F947BB7" w:rsidR="00354F13" w:rsidRDefault="00AA0AC6" w:rsidP="00B50DD3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 w:rsidRPr="00B50DD3">
        <w:rPr>
          <w:rFonts w:ascii="Arial" w:hAnsi="Arial" w:cs="Arial"/>
          <w:sz w:val="24"/>
          <w:szCs w:val="24"/>
        </w:rPr>
        <w:t>Information</w:t>
      </w:r>
      <w:proofErr w:type="spellEnd"/>
      <w:r w:rsidRPr="00B50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0DD3">
        <w:rPr>
          <w:rFonts w:ascii="Arial" w:hAnsi="Arial" w:cs="Arial"/>
          <w:sz w:val="24"/>
          <w:szCs w:val="24"/>
        </w:rPr>
        <w:t>from</w:t>
      </w:r>
      <w:proofErr w:type="spellEnd"/>
      <w:r w:rsidRPr="00B50DD3">
        <w:rPr>
          <w:rFonts w:ascii="Arial" w:hAnsi="Arial" w:cs="Arial"/>
          <w:sz w:val="24"/>
          <w:szCs w:val="24"/>
        </w:rPr>
        <w:t xml:space="preserve"> „HRS4R </w:t>
      </w:r>
      <w:proofErr w:type="spellStart"/>
      <w:r w:rsidRPr="00B50DD3">
        <w:rPr>
          <w:rFonts w:ascii="Arial" w:hAnsi="Arial" w:cs="Arial"/>
          <w:sz w:val="24"/>
          <w:szCs w:val="24"/>
        </w:rPr>
        <w:t>Info</w:t>
      </w:r>
      <w:proofErr w:type="spellEnd"/>
      <w:r w:rsidRPr="00B50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0DD3">
        <w:rPr>
          <w:rFonts w:ascii="Arial" w:hAnsi="Arial" w:cs="Arial"/>
          <w:sz w:val="24"/>
          <w:szCs w:val="24"/>
        </w:rPr>
        <w:t>Day</w:t>
      </w:r>
      <w:proofErr w:type="spellEnd"/>
      <w:r w:rsidRPr="00B50DD3">
        <w:rPr>
          <w:rFonts w:ascii="Arial" w:hAnsi="Arial" w:cs="Arial"/>
          <w:sz w:val="24"/>
          <w:szCs w:val="24"/>
        </w:rPr>
        <w:t xml:space="preserve"> 2022“ </w:t>
      </w:r>
      <w:r w:rsidR="00B50DD3">
        <w:rPr>
          <w:rFonts w:ascii="Arial" w:hAnsi="Arial" w:cs="Arial"/>
          <w:sz w:val="24"/>
          <w:szCs w:val="24"/>
        </w:rPr>
        <w:br/>
      </w:r>
      <w:proofErr w:type="spellStart"/>
      <w:r w:rsidR="00B50DD3">
        <w:rPr>
          <w:rFonts w:ascii="Arial" w:hAnsi="Arial" w:cs="Arial"/>
          <w:sz w:val="24"/>
          <w:szCs w:val="24"/>
        </w:rPr>
        <w:t>Detailed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DD3">
        <w:rPr>
          <w:rFonts w:ascii="Arial" w:hAnsi="Arial" w:cs="Arial"/>
          <w:sz w:val="24"/>
          <w:szCs w:val="24"/>
        </w:rPr>
        <w:t>information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had </w:t>
      </w:r>
      <w:proofErr w:type="spellStart"/>
      <w:r w:rsidR="00B50DD3">
        <w:rPr>
          <w:rFonts w:ascii="Arial" w:hAnsi="Arial" w:cs="Arial"/>
          <w:sz w:val="24"/>
          <w:szCs w:val="24"/>
        </w:rPr>
        <w:t>been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DD3">
        <w:rPr>
          <w:rFonts w:ascii="Arial" w:hAnsi="Arial" w:cs="Arial"/>
          <w:sz w:val="24"/>
          <w:szCs w:val="24"/>
        </w:rPr>
        <w:t>presented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DD3">
        <w:rPr>
          <w:rFonts w:ascii="Arial" w:hAnsi="Arial" w:cs="Arial"/>
          <w:sz w:val="24"/>
          <w:szCs w:val="24"/>
        </w:rPr>
        <w:t>during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DD3">
        <w:rPr>
          <w:rFonts w:ascii="Arial" w:hAnsi="Arial" w:cs="Arial"/>
          <w:sz w:val="24"/>
          <w:szCs w:val="24"/>
        </w:rPr>
        <w:t>the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meeting </w:t>
      </w:r>
      <w:proofErr w:type="spellStart"/>
      <w:r w:rsidR="00B50DD3">
        <w:rPr>
          <w:rFonts w:ascii="Arial" w:hAnsi="Arial" w:cs="Arial"/>
          <w:sz w:val="24"/>
          <w:szCs w:val="24"/>
        </w:rPr>
        <w:t>of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DD3">
        <w:rPr>
          <w:rFonts w:ascii="Arial" w:hAnsi="Arial" w:cs="Arial"/>
          <w:sz w:val="24"/>
          <w:szCs w:val="24"/>
        </w:rPr>
        <w:t>the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WG, </w:t>
      </w:r>
      <w:proofErr w:type="spellStart"/>
      <w:r w:rsidR="00B50DD3">
        <w:rPr>
          <w:rFonts w:ascii="Arial" w:hAnsi="Arial" w:cs="Arial"/>
          <w:sz w:val="24"/>
          <w:szCs w:val="24"/>
        </w:rPr>
        <w:t>the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DD3">
        <w:rPr>
          <w:rFonts w:ascii="Arial" w:hAnsi="Arial" w:cs="Arial"/>
          <w:sz w:val="24"/>
          <w:szCs w:val="24"/>
        </w:rPr>
        <w:t>main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DD3">
        <w:rPr>
          <w:rFonts w:ascii="Arial" w:hAnsi="Arial" w:cs="Arial"/>
          <w:sz w:val="24"/>
          <w:szCs w:val="24"/>
        </w:rPr>
        <w:t>points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50DD3">
        <w:rPr>
          <w:rFonts w:ascii="Arial" w:hAnsi="Arial" w:cs="Arial"/>
          <w:sz w:val="24"/>
          <w:szCs w:val="24"/>
        </w:rPr>
        <w:t>were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DD3">
        <w:rPr>
          <w:rFonts w:ascii="Arial" w:hAnsi="Arial" w:cs="Arial"/>
          <w:sz w:val="24"/>
          <w:szCs w:val="24"/>
        </w:rPr>
        <w:t>emphasized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DD3">
        <w:rPr>
          <w:rFonts w:ascii="Arial" w:hAnsi="Arial" w:cs="Arial"/>
          <w:sz w:val="24"/>
          <w:szCs w:val="24"/>
        </w:rPr>
        <w:t>at</w:t>
      </w:r>
      <w:proofErr w:type="spellEnd"/>
      <w:r w:rsidR="00B50DD3">
        <w:rPr>
          <w:rFonts w:ascii="Arial" w:hAnsi="Arial" w:cs="Arial"/>
          <w:sz w:val="24"/>
          <w:szCs w:val="24"/>
        </w:rPr>
        <w:t xml:space="preserve"> SC meeting.</w:t>
      </w:r>
    </w:p>
    <w:p w14:paraId="1E5AD361" w14:textId="77777777" w:rsidR="00B50DD3" w:rsidRPr="00B50DD3" w:rsidRDefault="00B50DD3" w:rsidP="00B50DD3">
      <w:pPr>
        <w:pStyle w:val="Odstavecseseznamem"/>
        <w:rPr>
          <w:rFonts w:ascii="Arial" w:hAnsi="Arial" w:cs="Arial"/>
          <w:sz w:val="24"/>
          <w:szCs w:val="24"/>
        </w:rPr>
      </w:pPr>
    </w:p>
    <w:p w14:paraId="46EC8A2C" w14:textId="26BC62EC" w:rsidR="009D7DF1" w:rsidRPr="009D7DF1" w:rsidRDefault="00B50DD3" w:rsidP="00AE1CB3">
      <w:pPr>
        <w:pStyle w:val="Odstavecseseznamem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B50DD3">
        <w:rPr>
          <w:rFonts w:ascii="Arial" w:hAnsi="Arial" w:cs="Arial"/>
          <w:sz w:val="24"/>
          <w:szCs w:val="24"/>
        </w:rPr>
        <w:t xml:space="preserve">SC </w:t>
      </w:r>
      <w:proofErr w:type="spellStart"/>
      <w:r w:rsidRPr="00B50DD3">
        <w:rPr>
          <w:rFonts w:ascii="Arial" w:hAnsi="Arial" w:cs="Arial"/>
          <w:sz w:val="24"/>
          <w:szCs w:val="24"/>
        </w:rPr>
        <w:t>discussed</w:t>
      </w:r>
      <w:proofErr w:type="spellEnd"/>
      <w:r w:rsidRPr="00B50DD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activities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WG and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Institute in </w:t>
      </w:r>
      <w:proofErr w:type="spellStart"/>
      <w:r>
        <w:rPr>
          <w:rFonts w:ascii="Arial" w:hAnsi="Arial" w:cs="Arial"/>
          <w:sz w:val="24"/>
          <w:szCs w:val="24"/>
        </w:rPr>
        <w:t>relation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AP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HRAW</w:t>
      </w:r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during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this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year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as </w:t>
      </w:r>
      <w:proofErr w:type="spellStart"/>
      <w:r w:rsidR="00AE1CB3">
        <w:rPr>
          <w:rFonts w:ascii="Arial" w:hAnsi="Arial" w:cs="Arial"/>
          <w:sz w:val="24"/>
          <w:szCs w:val="24"/>
        </w:rPr>
        <w:t>well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as </w:t>
      </w:r>
      <w:proofErr w:type="spellStart"/>
      <w:r w:rsidR="00AE1CB3">
        <w:rPr>
          <w:rFonts w:ascii="Arial" w:hAnsi="Arial" w:cs="Arial"/>
          <w:sz w:val="24"/>
          <w:szCs w:val="24"/>
        </w:rPr>
        <w:t>the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plan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for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the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next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year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AE1CB3">
        <w:rPr>
          <w:rFonts w:ascii="Arial" w:hAnsi="Arial" w:cs="Arial"/>
          <w:sz w:val="24"/>
          <w:szCs w:val="24"/>
        </w:rPr>
        <w:t>the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light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of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new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information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about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the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changes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of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the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Charter and </w:t>
      </w:r>
      <w:proofErr w:type="spellStart"/>
      <w:r w:rsidR="00AE1CB3">
        <w:rPr>
          <w:rFonts w:ascii="Arial" w:hAnsi="Arial" w:cs="Arial"/>
          <w:sz w:val="24"/>
          <w:szCs w:val="24"/>
        </w:rPr>
        <w:t>Codex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AE1CB3">
        <w:rPr>
          <w:rFonts w:ascii="Arial" w:hAnsi="Arial" w:cs="Arial"/>
          <w:sz w:val="24"/>
          <w:szCs w:val="24"/>
        </w:rPr>
        <w:t xml:space="preserve"> SC </w:t>
      </w:r>
      <w:proofErr w:type="spellStart"/>
      <w:r w:rsidR="00AE1CB3">
        <w:rPr>
          <w:rFonts w:ascii="Arial" w:hAnsi="Arial" w:cs="Arial"/>
          <w:sz w:val="24"/>
          <w:szCs w:val="24"/>
        </w:rPr>
        <w:t>recommended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to joint </w:t>
      </w:r>
      <w:proofErr w:type="spellStart"/>
      <w:r w:rsidR="00AE1CB3">
        <w:rPr>
          <w:rFonts w:ascii="Arial" w:hAnsi="Arial" w:cs="Arial"/>
          <w:sz w:val="24"/>
          <w:szCs w:val="24"/>
        </w:rPr>
        <w:t>the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Agreement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AE1CB3">
        <w:rPr>
          <w:rFonts w:ascii="Arial" w:hAnsi="Arial" w:cs="Arial"/>
          <w:sz w:val="24"/>
          <w:szCs w:val="24"/>
        </w:rPr>
        <w:t>the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Reform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of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Research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Assessment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(ARRA) and </w:t>
      </w:r>
      <w:proofErr w:type="spellStart"/>
      <w:r w:rsidR="00AE1CB3">
        <w:rPr>
          <w:rFonts w:ascii="Arial" w:hAnsi="Arial" w:cs="Arial"/>
          <w:sz w:val="24"/>
          <w:szCs w:val="24"/>
        </w:rPr>
        <w:t>implement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the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corresponding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principles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into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practice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. SC </w:t>
      </w:r>
      <w:proofErr w:type="spellStart"/>
      <w:r w:rsidR="00AE1CB3">
        <w:rPr>
          <w:rFonts w:ascii="Arial" w:hAnsi="Arial" w:cs="Arial"/>
          <w:sz w:val="24"/>
          <w:szCs w:val="24"/>
        </w:rPr>
        <w:t>discussed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the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courses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for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the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next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year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AE1CB3">
        <w:rPr>
          <w:rFonts w:ascii="Arial" w:hAnsi="Arial" w:cs="Arial"/>
          <w:sz w:val="24"/>
          <w:szCs w:val="24"/>
        </w:rPr>
        <w:t>recommended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AE1CB3">
        <w:rPr>
          <w:rFonts w:ascii="Arial" w:hAnsi="Arial" w:cs="Arial"/>
          <w:sz w:val="24"/>
          <w:szCs w:val="24"/>
        </w:rPr>
        <w:t>decide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AE1CB3">
        <w:rPr>
          <w:rFonts w:ascii="Arial" w:hAnsi="Arial" w:cs="Arial"/>
          <w:sz w:val="24"/>
          <w:szCs w:val="24"/>
        </w:rPr>
        <w:t>agreement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with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the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interest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of</w:t>
      </w:r>
      <w:proofErr w:type="spellEnd"/>
      <w:r w:rsidR="00AE1CB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1CB3">
        <w:rPr>
          <w:rFonts w:ascii="Arial" w:hAnsi="Arial" w:cs="Arial"/>
          <w:sz w:val="24"/>
          <w:szCs w:val="24"/>
        </w:rPr>
        <w:t>institute</w:t>
      </w:r>
      <w:proofErr w:type="gramEnd"/>
      <w:r w:rsidR="00AE1C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CB3">
        <w:rPr>
          <w:rFonts w:ascii="Arial" w:hAnsi="Arial" w:cs="Arial"/>
          <w:sz w:val="24"/>
          <w:szCs w:val="24"/>
        </w:rPr>
        <w:t>employes</w:t>
      </w:r>
      <w:proofErr w:type="spellEnd"/>
      <w:r w:rsidR="00AE1CB3">
        <w:rPr>
          <w:rFonts w:ascii="Arial" w:hAnsi="Arial" w:cs="Arial"/>
          <w:sz w:val="24"/>
          <w:szCs w:val="24"/>
        </w:rPr>
        <w:t>.</w:t>
      </w:r>
      <w:r w:rsidR="00C53E25">
        <w:rPr>
          <w:rFonts w:ascii="Arial" w:hAnsi="Arial" w:cs="Arial"/>
          <w:sz w:val="24"/>
          <w:szCs w:val="24"/>
        </w:rPr>
        <w:t xml:space="preserve"> SC </w:t>
      </w:r>
      <w:proofErr w:type="spellStart"/>
      <w:r w:rsidR="00C53E25">
        <w:rPr>
          <w:rFonts w:ascii="Arial" w:hAnsi="Arial" w:cs="Arial"/>
          <w:sz w:val="24"/>
          <w:szCs w:val="24"/>
        </w:rPr>
        <w:t>recommended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C53E25">
        <w:rPr>
          <w:rFonts w:ascii="Arial" w:hAnsi="Arial" w:cs="Arial"/>
          <w:sz w:val="24"/>
          <w:szCs w:val="24"/>
        </w:rPr>
        <w:t>focus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E25">
        <w:rPr>
          <w:rFonts w:ascii="Arial" w:hAnsi="Arial" w:cs="Arial"/>
          <w:sz w:val="24"/>
          <w:szCs w:val="24"/>
        </w:rPr>
        <w:t>the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E25">
        <w:rPr>
          <w:rFonts w:ascii="Arial" w:hAnsi="Arial" w:cs="Arial"/>
          <w:sz w:val="24"/>
          <w:szCs w:val="24"/>
        </w:rPr>
        <w:t>attention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E25">
        <w:rPr>
          <w:rFonts w:ascii="Arial" w:hAnsi="Arial" w:cs="Arial"/>
          <w:sz w:val="24"/>
          <w:szCs w:val="24"/>
        </w:rPr>
        <w:t>also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 to Open Science (</w:t>
      </w:r>
      <w:proofErr w:type="spellStart"/>
      <w:r w:rsidR="00C53E25">
        <w:rPr>
          <w:rFonts w:ascii="Arial" w:hAnsi="Arial" w:cs="Arial"/>
          <w:sz w:val="24"/>
          <w:szCs w:val="24"/>
        </w:rPr>
        <w:t>the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 Institute </w:t>
      </w:r>
      <w:proofErr w:type="spellStart"/>
      <w:r w:rsidR="00C53E25">
        <w:rPr>
          <w:rFonts w:ascii="Arial" w:hAnsi="Arial" w:cs="Arial"/>
          <w:sz w:val="24"/>
          <w:szCs w:val="24"/>
        </w:rPr>
        <w:t>elaborated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E25">
        <w:rPr>
          <w:rFonts w:ascii="Arial" w:hAnsi="Arial" w:cs="Arial"/>
          <w:sz w:val="24"/>
          <w:szCs w:val="24"/>
        </w:rPr>
        <w:t>the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E25">
        <w:rPr>
          <w:rFonts w:ascii="Arial" w:hAnsi="Arial" w:cs="Arial"/>
          <w:sz w:val="24"/>
          <w:szCs w:val="24"/>
        </w:rPr>
        <w:t>regulation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 on Open Access as </w:t>
      </w:r>
      <w:proofErr w:type="spellStart"/>
      <w:r w:rsidR="00C53E25">
        <w:rPr>
          <w:rFonts w:ascii="Arial" w:hAnsi="Arial" w:cs="Arial"/>
          <w:sz w:val="24"/>
          <w:szCs w:val="24"/>
        </w:rPr>
        <w:t>well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 as Data Management </w:t>
      </w:r>
      <w:proofErr w:type="spellStart"/>
      <w:r w:rsidR="00C53E25">
        <w:rPr>
          <w:rFonts w:ascii="Arial" w:hAnsi="Arial" w:cs="Arial"/>
          <w:sz w:val="24"/>
          <w:szCs w:val="24"/>
        </w:rPr>
        <w:t>Plan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3E25">
        <w:rPr>
          <w:rFonts w:ascii="Arial" w:hAnsi="Arial" w:cs="Arial"/>
          <w:sz w:val="24"/>
          <w:szCs w:val="24"/>
        </w:rPr>
        <w:t>however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3E25">
        <w:rPr>
          <w:rFonts w:ascii="Arial" w:hAnsi="Arial" w:cs="Arial"/>
          <w:sz w:val="24"/>
          <w:szCs w:val="24"/>
        </w:rPr>
        <w:t>both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E25">
        <w:rPr>
          <w:rFonts w:ascii="Arial" w:hAnsi="Arial" w:cs="Arial"/>
          <w:sz w:val="24"/>
          <w:szCs w:val="24"/>
        </w:rPr>
        <w:t>documents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E25">
        <w:rPr>
          <w:rFonts w:ascii="Arial" w:hAnsi="Arial" w:cs="Arial"/>
          <w:sz w:val="24"/>
          <w:szCs w:val="24"/>
        </w:rPr>
        <w:t>should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E25">
        <w:rPr>
          <w:rFonts w:ascii="Arial" w:hAnsi="Arial" w:cs="Arial"/>
          <w:sz w:val="24"/>
          <w:szCs w:val="24"/>
        </w:rPr>
        <w:t>be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E25">
        <w:rPr>
          <w:rFonts w:ascii="Arial" w:hAnsi="Arial" w:cs="Arial"/>
          <w:sz w:val="24"/>
          <w:szCs w:val="24"/>
        </w:rPr>
        <w:t>continually</w:t>
      </w:r>
      <w:proofErr w:type="spellEnd"/>
      <w:r w:rsidR="00C53E25">
        <w:rPr>
          <w:rFonts w:ascii="Arial" w:hAnsi="Arial" w:cs="Arial"/>
          <w:sz w:val="24"/>
          <w:szCs w:val="24"/>
        </w:rPr>
        <w:t xml:space="preserve"> improved).</w:t>
      </w:r>
      <w:bookmarkStart w:id="0" w:name="_GoBack"/>
      <w:bookmarkEnd w:id="0"/>
    </w:p>
    <w:sectPr w:rsidR="009D7DF1" w:rsidRPr="009D7DF1" w:rsidSect="000B7C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BE2"/>
    <w:multiLevelType w:val="hybridMultilevel"/>
    <w:tmpl w:val="481006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725C"/>
    <w:multiLevelType w:val="hybridMultilevel"/>
    <w:tmpl w:val="2C7E2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425AA"/>
    <w:multiLevelType w:val="hybridMultilevel"/>
    <w:tmpl w:val="67AE0AC6"/>
    <w:lvl w:ilvl="0" w:tplc="9C7857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C31DB"/>
    <w:multiLevelType w:val="hybridMultilevel"/>
    <w:tmpl w:val="B58C33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E7097"/>
    <w:multiLevelType w:val="hybridMultilevel"/>
    <w:tmpl w:val="373C6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5A41"/>
    <w:multiLevelType w:val="hybridMultilevel"/>
    <w:tmpl w:val="91CA6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0367D"/>
    <w:multiLevelType w:val="hybridMultilevel"/>
    <w:tmpl w:val="581C8512"/>
    <w:lvl w:ilvl="0" w:tplc="6B447A3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FC60BE"/>
    <w:multiLevelType w:val="hybridMultilevel"/>
    <w:tmpl w:val="8E2EFC7C"/>
    <w:lvl w:ilvl="0" w:tplc="0DA2738E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9A0F2F"/>
    <w:multiLevelType w:val="hybridMultilevel"/>
    <w:tmpl w:val="65ACFB46"/>
    <w:lvl w:ilvl="0" w:tplc="78F25A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EF65B9"/>
    <w:multiLevelType w:val="hybridMultilevel"/>
    <w:tmpl w:val="2498524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97368"/>
    <w:multiLevelType w:val="hybridMultilevel"/>
    <w:tmpl w:val="EDC2BC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200A9"/>
    <w:multiLevelType w:val="hybridMultilevel"/>
    <w:tmpl w:val="0506F6E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041E66"/>
    <w:multiLevelType w:val="hybridMultilevel"/>
    <w:tmpl w:val="366C3FC0"/>
    <w:lvl w:ilvl="0" w:tplc="DB70DBC8">
      <w:start w:val="1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F9501A4"/>
    <w:multiLevelType w:val="hybridMultilevel"/>
    <w:tmpl w:val="581C8512"/>
    <w:lvl w:ilvl="0" w:tplc="6B447A3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2C750A"/>
    <w:multiLevelType w:val="hybridMultilevel"/>
    <w:tmpl w:val="B6742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2"/>
  </w:num>
  <w:num w:numId="5">
    <w:abstractNumId w:val="12"/>
  </w:num>
  <w:num w:numId="6">
    <w:abstractNumId w:val="10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  <w:num w:numId="12">
    <w:abstractNumId w:val="14"/>
  </w:num>
  <w:num w:numId="13">
    <w:abstractNumId w:val="11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52"/>
    <w:rsid w:val="000055B5"/>
    <w:rsid w:val="000130CB"/>
    <w:rsid w:val="00044444"/>
    <w:rsid w:val="00050F82"/>
    <w:rsid w:val="00067F76"/>
    <w:rsid w:val="000777F1"/>
    <w:rsid w:val="00077C3B"/>
    <w:rsid w:val="000B7C52"/>
    <w:rsid w:val="000E29FD"/>
    <w:rsid w:val="0013686E"/>
    <w:rsid w:val="001D280A"/>
    <w:rsid w:val="001E25FD"/>
    <w:rsid w:val="001E4420"/>
    <w:rsid w:val="00277C71"/>
    <w:rsid w:val="002A108C"/>
    <w:rsid w:val="002B4A1D"/>
    <w:rsid w:val="002C2760"/>
    <w:rsid w:val="002E3BBF"/>
    <w:rsid w:val="002F7AA7"/>
    <w:rsid w:val="00306143"/>
    <w:rsid w:val="00331846"/>
    <w:rsid w:val="00354F13"/>
    <w:rsid w:val="003707AE"/>
    <w:rsid w:val="003742FC"/>
    <w:rsid w:val="0039363F"/>
    <w:rsid w:val="00397507"/>
    <w:rsid w:val="003B31FD"/>
    <w:rsid w:val="003C59DB"/>
    <w:rsid w:val="003C693F"/>
    <w:rsid w:val="003E2479"/>
    <w:rsid w:val="004330C1"/>
    <w:rsid w:val="0047561E"/>
    <w:rsid w:val="0049130E"/>
    <w:rsid w:val="004B38C1"/>
    <w:rsid w:val="00532A3A"/>
    <w:rsid w:val="00551709"/>
    <w:rsid w:val="00552C25"/>
    <w:rsid w:val="00557949"/>
    <w:rsid w:val="00560191"/>
    <w:rsid w:val="00577ACB"/>
    <w:rsid w:val="005B4831"/>
    <w:rsid w:val="005B62C7"/>
    <w:rsid w:val="005E3294"/>
    <w:rsid w:val="006045A9"/>
    <w:rsid w:val="00615871"/>
    <w:rsid w:val="00684F68"/>
    <w:rsid w:val="00743346"/>
    <w:rsid w:val="00790762"/>
    <w:rsid w:val="007A04BC"/>
    <w:rsid w:val="007C3E33"/>
    <w:rsid w:val="007D07A2"/>
    <w:rsid w:val="00871123"/>
    <w:rsid w:val="00893E5C"/>
    <w:rsid w:val="008A5067"/>
    <w:rsid w:val="008A59B2"/>
    <w:rsid w:val="008C681B"/>
    <w:rsid w:val="009026C6"/>
    <w:rsid w:val="009030EE"/>
    <w:rsid w:val="00925729"/>
    <w:rsid w:val="00954A89"/>
    <w:rsid w:val="00964443"/>
    <w:rsid w:val="009B1579"/>
    <w:rsid w:val="009D7DF1"/>
    <w:rsid w:val="009F3FFF"/>
    <w:rsid w:val="00A107E6"/>
    <w:rsid w:val="00A21AB1"/>
    <w:rsid w:val="00A26951"/>
    <w:rsid w:val="00A76EF9"/>
    <w:rsid w:val="00AA0AC6"/>
    <w:rsid w:val="00AE1CB3"/>
    <w:rsid w:val="00AF2F36"/>
    <w:rsid w:val="00AF355D"/>
    <w:rsid w:val="00B50DD3"/>
    <w:rsid w:val="00B51E28"/>
    <w:rsid w:val="00B51E8C"/>
    <w:rsid w:val="00B72DF5"/>
    <w:rsid w:val="00B73A56"/>
    <w:rsid w:val="00C22A4B"/>
    <w:rsid w:val="00C30ECD"/>
    <w:rsid w:val="00C344C8"/>
    <w:rsid w:val="00C3538A"/>
    <w:rsid w:val="00C50A9C"/>
    <w:rsid w:val="00C53E25"/>
    <w:rsid w:val="00C5783D"/>
    <w:rsid w:val="00C63EF4"/>
    <w:rsid w:val="00C71185"/>
    <w:rsid w:val="00C80E2D"/>
    <w:rsid w:val="00CA3667"/>
    <w:rsid w:val="00CB311A"/>
    <w:rsid w:val="00CC2668"/>
    <w:rsid w:val="00D1787C"/>
    <w:rsid w:val="00D408EF"/>
    <w:rsid w:val="00D4198C"/>
    <w:rsid w:val="00D4456A"/>
    <w:rsid w:val="00D86893"/>
    <w:rsid w:val="00DA0043"/>
    <w:rsid w:val="00DD6A9F"/>
    <w:rsid w:val="00DF0028"/>
    <w:rsid w:val="00E05167"/>
    <w:rsid w:val="00E10D54"/>
    <w:rsid w:val="00E817B1"/>
    <w:rsid w:val="00EC4718"/>
    <w:rsid w:val="00F126B1"/>
    <w:rsid w:val="00F40BA0"/>
    <w:rsid w:val="00F46072"/>
    <w:rsid w:val="00FA738A"/>
    <w:rsid w:val="00FA7B0D"/>
    <w:rsid w:val="00FC1659"/>
    <w:rsid w:val="00FD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8528"/>
  <w15:chartTrackingRefBased/>
  <w15:docId w15:val="{D0271F88-7B14-44AB-BEDC-79D18DD8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7C52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E0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5167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E05167"/>
  </w:style>
  <w:style w:type="table" w:styleId="Mkatabulky">
    <w:name w:val="Table Grid"/>
    <w:basedOn w:val="Normlntabulka"/>
    <w:uiPriority w:val="39"/>
    <w:rsid w:val="00C2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Kozubek</dc:creator>
  <cp:keywords/>
  <dc:description/>
  <cp:lastModifiedBy>Stanislav Kozubek</cp:lastModifiedBy>
  <cp:revision>6</cp:revision>
  <dcterms:created xsi:type="dcterms:W3CDTF">2022-11-14T08:20:00Z</dcterms:created>
  <dcterms:modified xsi:type="dcterms:W3CDTF">2022-11-14T09:38:00Z</dcterms:modified>
</cp:coreProperties>
</file>