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3C" w:rsidRPr="00A6373C" w:rsidRDefault="00A6373C" w:rsidP="00A637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Implementation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Phase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Interim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Assessment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- EC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Consensus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Report</w:t>
      </w: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Case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number</w:t>
      </w:r>
      <w:proofErr w:type="spellEnd"/>
    </w:p>
    <w:p w:rsidR="00A6373C" w:rsidRPr="00A6373C" w:rsidRDefault="00A6373C" w:rsidP="00A637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2020CZ518664</w:t>
      </w: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Name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under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</w:p>
    <w:p w:rsidR="00A6373C" w:rsidRPr="00A6373C" w:rsidRDefault="00A6373C" w:rsidP="00A637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Biofyzikální ústav Akademie věd ČR, v. v. i.</w:t>
      </w: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Organisation’s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contact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details</w:t>
      </w:r>
      <w:proofErr w:type="spellEnd"/>
    </w:p>
    <w:p w:rsidR="00A6373C" w:rsidRPr="00A6373C" w:rsidRDefault="00A6373C" w:rsidP="00A637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Královopolská 2590/135, Brno, Czech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republic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, 612 65, Czech Republic</w:t>
      </w: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Submission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Interim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Review</w:t>
      </w:r>
      <w:proofErr w:type="spellEnd"/>
    </w:p>
    <w:p w:rsidR="00A6373C" w:rsidRPr="00A6373C" w:rsidRDefault="00A6373C" w:rsidP="00A637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16/01/2024</w:t>
      </w: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Submission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Commission</w:t>
      </w:r>
      <w:proofErr w:type="spellEnd"/>
    </w:p>
    <w:p w:rsidR="00A6373C" w:rsidRPr="00A6373C" w:rsidRDefault="00A6373C" w:rsidP="00A637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19/02/2024</w:t>
      </w:r>
    </w:p>
    <w:p w:rsid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evaluates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ambition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quality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progress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intended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statements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prompted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"no"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partly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recommendations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sufficiently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updated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understand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narrative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goals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objectives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clearly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indicate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organisation’s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HR-management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updated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Plan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updated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’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current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status,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additions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and/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modifications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i tis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impressive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Plan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sufficiently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embedded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within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organisation’s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 </w:t>
      </w:r>
      <w:proofErr w:type="spellStart"/>
      <w:proofErr w:type="gram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structure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e.g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steering</w:t>
      </w:r>
      <w:proofErr w:type="spellEnd"/>
      <w:proofErr w:type="gram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committee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operational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responsibilities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so as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guarantee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solid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OTM-R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policy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Yes</w:t>
      </w:r>
      <w:proofErr w:type="spellEnd"/>
    </w:p>
    <w:p w:rsid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Strengths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weaknesses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basis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submitted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taking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account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organisation’s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judge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Strategy’s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strengths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weaknesses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? 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(maximum 1000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words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Strengths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Review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described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clearly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in detail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result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intense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strengths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weaknesses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properly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far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stated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institution's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involve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number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are</w:t>
      </w:r>
      <w:proofErr w:type="gram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gram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line</w:t>
      </w:r>
      <w:proofErr w:type="gram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HRS4R,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ensures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effective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engagement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Ethical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Professional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principles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covered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legislation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Science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documents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IBP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established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good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ethical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framework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practice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open science,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DMP,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repository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proposed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Great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initiatives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proposed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young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courses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talks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support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mobilities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EURAXESS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job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announcements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IBP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actively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engaged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setting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good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conditions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PhD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employees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demonstrated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many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undertaken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described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6-10).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Terms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employments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visible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IBP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Among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good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points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flexible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hours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remote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possibilities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safety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conditions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support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favorable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work-family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balance, part-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women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possibility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courses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offered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topics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required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scientists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etc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underlined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high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attention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paid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reduce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load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department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leaders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good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diverse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training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courses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AP,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various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aspects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management, soft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skills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However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could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find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courses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Pr="00A6373C" w:rsidRDefault="00A6373C" w:rsidP="00A63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Conducting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Employee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Satisfaction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Survey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AP, a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great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way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employee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feedback.</w:t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Weaknesses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6373C" w:rsidRPr="00A6373C" w:rsidRDefault="00A6373C" w:rsidP="00A63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Lack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office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and/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non-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positions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IBP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stated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"HR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teams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various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positions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represented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Working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responsibility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entire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recruitment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".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However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era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high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competition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attracting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talent,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role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office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crucial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supporting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objectives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Pr="00A6373C" w:rsidRDefault="00A6373C" w:rsidP="00A63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Lack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visibility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courses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training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offer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leadership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programmes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encourage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attendance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leaders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A6373C" w:rsidRPr="00A6373C" w:rsidRDefault="00A6373C" w:rsidP="00A63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Principles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35.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Participation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decision-making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bodies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36.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Relation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supervisors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not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enough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approached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described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26CB0" w:rsidRDefault="00726CB0"/>
    <w:p w:rsidR="00A6373C" w:rsidRDefault="00A6373C" w:rsidP="00A6373C">
      <w:pPr>
        <w:pStyle w:val="ng-tns-c1-0"/>
      </w:pPr>
      <w:proofErr w:type="spellStart"/>
      <w:r>
        <w:rPr>
          <w:rStyle w:val="Siln"/>
        </w:rPr>
        <w:t>During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the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transition</w:t>
      </w:r>
      <w:proofErr w:type="spellEnd"/>
      <w:r>
        <w:rPr>
          <w:rStyle w:val="Siln"/>
        </w:rPr>
        <w:t xml:space="preserve"> period </w:t>
      </w:r>
      <w:proofErr w:type="spellStart"/>
      <w:r>
        <w:rPr>
          <w:rStyle w:val="Siln"/>
        </w:rPr>
        <w:t>special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conditions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apply</w:t>
      </w:r>
      <w:proofErr w:type="spellEnd"/>
      <w:r>
        <w:rPr>
          <w:rStyle w:val="Siln"/>
        </w:rPr>
        <w:t>:</w:t>
      </w:r>
      <w:r>
        <w:br/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HRS4R </w:t>
      </w:r>
      <w:proofErr w:type="spellStart"/>
      <w:r>
        <w:t>implementation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OTM-R </w:t>
      </w:r>
      <w:proofErr w:type="spellStart"/>
      <w:r>
        <w:t>toolkit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(2015)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prioritised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OTM-R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case,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penalised</w:t>
      </w:r>
      <w:proofErr w:type="spellEnd"/>
      <w:r>
        <w:t xml:space="preserve"> but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to </w:t>
      </w:r>
      <w:proofErr w:type="spellStart"/>
      <w:r>
        <w:t>address</w:t>
      </w:r>
      <w:proofErr w:type="spellEnd"/>
      <w:r>
        <w:t xml:space="preserve"> these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appropriately</w:t>
      </w:r>
      <w:proofErr w:type="spellEnd"/>
      <w:r>
        <w:t xml:space="preserve">. </w:t>
      </w:r>
    </w:p>
    <w:p w:rsidR="00A6373C" w:rsidRDefault="00A6373C" w:rsidP="00A6373C">
      <w:pPr>
        <w:pStyle w:val="ng-tns-c1-0"/>
      </w:pPr>
      <w:r>
        <w:rPr>
          <w:rStyle w:val="Siln"/>
        </w:rPr>
        <w:lastRenderedPageBreak/>
        <w:t xml:space="preserve">At </w:t>
      </w:r>
      <w:proofErr w:type="spellStart"/>
      <w:r>
        <w:rPr>
          <w:rStyle w:val="Siln"/>
        </w:rPr>
        <w:t>this</w:t>
      </w:r>
      <w:proofErr w:type="spellEnd"/>
      <w:r>
        <w:rPr>
          <w:rStyle w:val="Siln"/>
        </w:rPr>
        <w:t xml:space="preserve"> point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the</w:t>
      </w:r>
      <w:proofErr w:type="spellEnd"/>
      <w:r>
        <w:rPr>
          <w:rStyle w:val="Siln"/>
        </w:rPr>
        <w:t xml:space="preserve"> INTERIM </w:t>
      </w:r>
      <w:proofErr w:type="spellStart"/>
      <w:r>
        <w:rPr>
          <w:rStyle w:val="Siln"/>
        </w:rPr>
        <w:t>assessment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the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institution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does</w:t>
      </w:r>
      <w:proofErr w:type="spellEnd"/>
      <w:r>
        <w:rPr>
          <w:rStyle w:val="Siln"/>
        </w:rPr>
        <w:t xml:space="preserve"> not </w:t>
      </w:r>
      <w:proofErr w:type="spellStart"/>
      <w:r>
        <w:rPr>
          <w:rStyle w:val="Siln"/>
        </w:rPr>
        <w:t>jeopardise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maintaining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the</w:t>
      </w:r>
      <w:proofErr w:type="spellEnd"/>
      <w:r>
        <w:rPr>
          <w:rStyle w:val="Siln"/>
        </w:rPr>
        <w:t xml:space="preserve"> HR </w:t>
      </w:r>
      <w:proofErr w:type="spellStart"/>
      <w:r>
        <w:rPr>
          <w:rStyle w:val="Siln"/>
        </w:rPr>
        <w:t>award</w:t>
      </w:r>
      <w:proofErr w:type="spellEnd"/>
      <w:r>
        <w:rPr>
          <w:rStyle w:val="Siln"/>
        </w:rPr>
        <w:t>.</w:t>
      </w:r>
      <w:r>
        <w:t xml:space="preserve"> </w:t>
      </w:r>
      <w:proofErr w:type="spellStart"/>
      <w:r>
        <w:t>Nevertheless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assessors</w:t>
      </w:r>
      <w:proofErr w:type="spellEnd"/>
      <w:r>
        <w:t xml:space="preserve"> to </w:t>
      </w:r>
      <w:proofErr w:type="spellStart"/>
      <w:r>
        <w:rPr>
          <w:u w:val="single"/>
        </w:rPr>
        <w:t>meet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assessment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criteria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next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assessment</w:t>
      </w:r>
      <w:proofErr w:type="spellEnd"/>
      <w:r>
        <w:t xml:space="preserve"> (in 36 </w:t>
      </w:r>
      <w:proofErr w:type="spellStart"/>
      <w:r>
        <w:t>months</w:t>
      </w:r>
      <w:proofErr w:type="spellEnd"/>
      <w:r>
        <w:t>).</w:t>
      </w: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Recommendations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below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situations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describes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organisation’s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most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accurately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Tick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right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situation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add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comments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recommendations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accordingly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Default="00A6373C">
      <w:r>
        <w:t xml:space="preserve">HRS4R </w:t>
      </w:r>
      <w:proofErr w:type="spellStart"/>
      <w:r>
        <w:t>embedded</w:t>
      </w:r>
      <w:proofErr w:type="spellEnd"/>
      <w:r>
        <w:t xml:space="preserve">                                                                                                                                           x</w:t>
      </w:r>
    </w:p>
    <w:p w:rsidR="00A6373C" w:rsidRDefault="00A6373C">
      <w:r>
        <w:t xml:space="preserve">HRS4R </w:t>
      </w:r>
      <w:proofErr w:type="spellStart"/>
      <w:r>
        <w:t>embedded</w:t>
      </w:r>
      <w:proofErr w:type="spellEnd"/>
      <w:r>
        <w:t xml:space="preserve">, </w:t>
      </w:r>
      <w:proofErr w:type="spellStart"/>
      <w:r>
        <w:t>corrective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needed</w:t>
      </w:r>
      <w:proofErr w:type="spellEnd"/>
    </w:p>
    <w:p w:rsidR="00A6373C" w:rsidRDefault="00A6373C">
      <w:r>
        <w:t xml:space="preserve">HRS4R </w:t>
      </w:r>
      <w:proofErr w:type="spellStart"/>
      <w:r>
        <w:t>embedded</w:t>
      </w:r>
      <w:proofErr w:type="spellEnd"/>
      <w:r>
        <w:t xml:space="preserve">,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corrective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needed</w:t>
      </w:r>
      <w:proofErr w:type="spellEnd"/>
    </w:p>
    <w:p w:rsidR="00A6373C" w:rsidRDefault="00A6373C"/>
    <w:p w:rsidR="00A6373C" w:rsidRDefault="00A6373C"/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Additional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comments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*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Undoubtedly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Biophysics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CAS (IBP)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proving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strongly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committed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HRS4R and 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far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New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goals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linked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weaknesses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specific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undertaken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e.g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Open Science – Data Management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Plan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Gender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issues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focus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ARRA.</w:t>
      </w:r>
    </w:p>
    <w:p w:rsid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consider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principles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well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known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IBP made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great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efforts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incorporate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institute's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373C" w:rsidRPr="00A6373C" w:rsidRDefault="00A6373C" w:rsidP="00A6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Explanation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73C" w:rsidRPr="00A6373C" w:rsidRDefault="00A6373C" w:rsidP="00A63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HRS4R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embedded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appropriate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described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Plan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There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evidence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HRS4R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further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embedded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</w:p>
    <w:p w:rsidR="00A6373C" w:rsidRPr="00A6373C" w:rsidRDefault="00A6373C" w:rsidP="00A63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HRS4R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embedded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corrective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needed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most part,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appropriate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described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Plan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could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benefit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alterations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advised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Assessment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There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some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evidence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HRS4R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further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embedded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73C" w:rsidRPr="00A6373C" w:rsidRDefault="00A6373C" w:rsidP="00A63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HRS4R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embedded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strong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corrective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needed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deemed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implementing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appropriate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raises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concern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future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efforts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actions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closely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aligned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Charter and </w:t>
      </w:r>
      <w:proofErr w:type="spellStart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>Code</w:t>
      </w:r>
      <w:proofErr w:type="spellEnd"/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There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lack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evidence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that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HRS4R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further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embedded</w:t>
      </w:r>
      <w:proofErr w:type="spellEnd"/>
      <w:r w:rsidRPr="00A637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A63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373C" w:rsidRPr="00A6373C" w:rsidRDefault="00A6373C" w:rsidP="00A63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373C" w:rsidRDefault="00A6373C"/>
    <w:sectPr w:rsidR="00A6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72C8"/>
    <w:multiLevelType w:val="multilevel"/>
    <w:tmpl w:val="80B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A20BE"/>
    <w:multiLevelType w:val="multilevel"/>
    <w:tmpl w:val="87F8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D31BE"/>
    <w:multiLevelType w:val="multilevel"/>
    <w:tmpl w:val="E288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3C"/>
    <w:rsid w:val="00726CB0"/>
    <w:rsid w:val="00A6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6003"/>
  <w15:chartTrackingRefBased/>
  <w15:docId w15:val="{15555AB8-5B1F-408D-A392-0B7E192D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3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g-tns-c1-0">
    <w:name w:val="ng-tns-c1-0"/>
    <w:basedOn w:val="Normln"/>
    <w:rsid w:val="00A6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373C"/>
    <w:rPr>
      <w:b/>
      <w:bCs/>
    </w:rPr>
  </w:style>
  <w:style w:type="character" w:customStyle="1" w:styleId="required">
    <w:name w:val="required"/>
    <w:basedOn w:val="Standardnpsmoodstavce"/>
    <w:rsid w:val="00A6373C"/>
  </w:style>
  <w:style w:type="character" w:customStyle="1" w:styleId="Nadpis2Char">
    <w:name w:val="Nadpis 2 Char"/>
    <w:basedOn w:val="Standardnpsmoodstavce"/>
    <w:link w:val="Nadpis2"/>
    <w:uiPriority w:val="9"/>
    <w:rsid w:val="00A637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1</cp:revision>
  <dcterms:created xsi:type="dcterms:W3CDTF">2024-02-20T07:34:00Z</dcterms:created>
  <dcterms:modified xsi:type="dcterms:W3CDTF">2024-02-20T07:43:00Z</dcterms:modified>
</cp:coreProperties>
</file>