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DD" w:rsidRPr="00C21748" w:rsidRDefault="00C21748" w:rsidP="00C21748">
      <w:pPr>
        <w:pStyle w:val="Zkladntext"/>
        <w:jc w:val="center"/>
        <w:rPr>
          <w:b/>
          <w:i/>
        </w:rPr>
      </w:pPr>
      <w:bookmarkStart w:id="0" w:name="_GoBack"/>
      <w:bookmarkEnd w:id="0"/>
      <w:r w:rsidRPr="00C21748">
        <w:rPr>
          <w:b/>
          <w:i/>
        </w:rPr>
        <w:t>Institute of Biophysics of the Czech Academy of S</w:t>
      </w:r>
      <w:r>
        <w:rPr>
          <w:b/>
          <w:i/>
        </w:rPr>
        <w:t>c</w:t>
      </w:r>
      <w:r w:rsidRPr="00C21748">
        <w:rPr>
          <w:b/>
          <w:i/>
        </w:rPr>
        <w:t xml:space="preserve">iences, </w:t>
      </w:r>
      <w:proofErr w:type="spellStart"/>
      <w:r w:rsidRPr="00C21748">
        <w:rPr>
          <w:b/>
          <w:i/>
        </w:rPr>
        <w:t>v.v.i</w:t>
      </w:r>
      <w:proofErr w:type="spellEnd"/>
      <w:r w:rsidRPr="00C21748">
        <w:rPr>
          <w:b/>
          <w:i/>
        </w:rPr>
        <w:t>.</w:t>
      </w:r>
    </w:p>
    <w:p w:rsidR="00B50FDD" w:rsidRDefault="003147B1">
      <w:pPr>
        <w:pStyle w:val="Zkladntext"/>
        <w:spacing w:before="9"/>
        <w:rPr>
          <w:i/>
          <w:sz w:val="14"/>
        </w:rPr>
      </w:pPr>
      <w:r>
        <w:pict>
          <v:group id="_x0000_s1027" style="position:absolute;margin-left:70.4pt;margin-top:10.45pt;width:447.9pt;height:.8pt;z-index:251658240;mso-wrap-distance-left:0;mso-wrap-distance-right:0;mso-position-horizontal-relative:page" coordorigin="1408,209" coordsize="8958,16">
            <v:line id="_x0000_s1029" style="position:absolute" from="1416,217" to="7150,217" strokeweight=".26669mm"/>
            <v:line id="_x0000_s1028" style="position:absolute" from="7158,217" to="10358,217" strokeweight=".26669mm"/>
            <w10:wrap type="topAndBottom" anchorx="page"/>
          </v:group>
        </w:pict>
      </w:r>
    </w:p>
    <w:p w:rsidR="00B50FDD" w:rsidRDefault="00B50FDD">
      <w:pPr>
        <w:pStyle w:val="Zkladntext"/>
        <w:rPr>
          <w:b/>
          <w:i/>
          <w:sz w:val="26"/>
        </w:rPr>
      </w:pPr>
    </w:p>
    <w:p w:rsidR="00B50FDD" w:rsidRPr="00C21748" w:rsidRDefault="00C21748">
      <w:pPr>
        <w:pStyle w:val="Zkladntext"/>
        <w:spacing w:before="10"/>
        <w:rPr>
          <w:b/>
        </w:rPr>
      </w:pPr>
      <w:r w:rsidRPr="00C21748">
        <w:rPr>
          <w:b/>
        </w:rPr>
        <w:t>Working categories and career stages</w:t>
      </w:r>
    </w:p>
    <w:p w:rsidR="00C21748" w:rsidRPr="00C21748" w:rsidRDefault="00C21748">
      <w:pPr>
        <w:pStyle w:val="Zkladntext"/>
        <w:spacing w:before="10"/>
      </w:pP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>Researchers are classified in the</w:t>
      </w:r>
    </w:p>
    <w:p w:rsid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tariff classes </w:t>
      </w:r>
      <w:proofErr w:type="spellStart"/>
      <w:r w:rsidRPr="00C21748">
        <w:rPr>
          <w:rFonts w:eastAsia="Times New Roman"/>
          <w:sz w:val="24"/>
          <w:szCs w:val="24"/>
          <w:lang w:val="en" w:eastAsia="cs-CZ"/>
        </w:rPr>
        <w:t>V1</w:t>
      </w:r>
      <w:proofErr w:type="spellEnd"/>
      <w:r w:rsidRPr="00C21748">
        <w:rPr>
          <w:rFonts w:eastAsia="Times New Roman"/>
          <w:sz w:val="24"/>
          <w:szCs w:val="24"/>
          <w:lang w:val="en" w:eastAsia="cs-CZ"/>
        </w:rPr>
        <w:t xml:space="preserve"> to </w:t>
      </w:r>
      <w:proofErr w:type="spellStart"/>
      <w:r w:rsidRPr="00C21748">
        <w:rPr>
          <w:rFonts w:eastAsia="Times New Roman"/>
          <w:sz w:val="24"/>
          <w:szCs w:val="24"/>
          <w:lang w:val="en" w:eastAsia="cs-CZ"/>
        </w:rPr>
        <w:t>V6</w:t>
      </w:r>
      <w:proofErr w:type="spellEnd"/>
      <w:r w:rsidRPr="00C21748">
        <w:rPr>
          <w:rFonts w:eastAsia="Times New Roman"/>
          <w:sz w:val="24"/>
          <w:szCs w:val="24"/>
          <w:lang w:val="en" w:eastAsia="cs-CZ"/>
        </w:rPr>
        <w:t xml:space="preserve"> </w:t>
      </w:r>
      <w:r w:rsidR="0061658C">
        <w:rPr>
          <w:rFonts w:eastAsia="Times New Roman"/>
          <w:sz w:val="24"/>
          <w:szCs w:val="24"/>
          <w:lang w:val="en" w:eastAsia="cs-CZ"/>
        </w:rPr>
        <w:t xml:space="preserve">are </w:t>
      </w:r>
      <w:r w:rsidRPr="00C21748">
        <w:rPr>
          <w:rFonts w:eastAsia="Times New Roman"/>
          <w:sz w:val="24"/>
          <w:szCs w:val="24"/>
          <w:lang w:val="en" w:eastAsia="cs-CZ"/>
        </w:rPr>
        <w:t>as follows: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b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a) research and development specialist in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V1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R1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b) doctoral student to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V2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R1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  <w:r w:rsidRPr="00C21748">
        <w:rPr>
          <w:rFonts w:eastAsia="Times New Roman"/>
          <w:sz w:val="24"/>
          <w:szCs w:val="24"/>
          <w:lang w:val="en" w:eastAsia="cs-CZ"/>
        </w:rPr>
        <w:t>,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c) postdoctoral student in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V3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R1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  <w:r w:rsidRPr="00C21748">
        <w:rPr>
          <w:rFonts w:eastAsia="Times New Roman"/>
          <w:sz w:val="24"/>
          <w:szCs w:val="24"/>
          <w:lang w:val="en" w:eastAsia="cs-CZ"/>
        </w:rPr>
        <w:t>,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d) research assistant in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V4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R2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  <w:r w:rsidRPr="00C21748">
        <w:rPr>
          <w:rFonts w:eastAsia="Times New Roman"/>
          <w:sz w:val="24"/>
          <w:szCs w:val="24"/>
          <w:lang w:val="en" w:eastAsia="cs-CZ"/>
        </w:rPr>
        <w:t>,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e) researcher in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V5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R3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  <w:r w:rsidRPr="00C21748">
        <w:rPr>
          <w:rFonts w:eastAsia="Times New Roman"/>
          <w:sz w:val="24"/>
          <w:szCs w:val="24"/>
          <w:lang w:val="en" w:eastAsia="cs-CZ"/>
        </w:rPr>
        <w:t>,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  <w:r w:rsidRPr="00C21748">
        <w:rPr>
          <w:rFonts w:eastAsia="Times New Roman"/>
          <w:sz w:val="24"/>
          <w:szCs w:val="24"/>
          <w:lang w:val="en" w:eastAsia="cs-CZ"/>
        </w:rPr>
        <w:t xml:space="preserve">(f) Senior Researcher in Class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V6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 xml:space="preserve">, (EU equivalent </w:t>
      </w:r>
      <w:proofErr w:type="spellStart"/>
      <w:r w:rsidRPr="00C21748">
        <w:rPr>
          <w:rFonts w:eastAsia="Times New Roman"/>
          <w:b/>
          <w:sz w:val="24"/>
          <w:szCs w:val="24"/>
          <w:lang w:val="en" w:eastAsia="cs-CZ"/>
        </w:rPr>
        <w:t>R4</w:t>
      </w:r>
      <w:proofErr w:type="spellEnd"/>
      <w:r w:rsidRPr="00C21748">
        <w:rPr>
          <w:rFonts w:eastAsia="Times New Roman"/>
          <w:b/>
          <w:sz w:val="24"/>
          <w:szCs w:val="24"/>
          <w:lang w:val="en" w:eastAsia="cs-CZ"/>
        </w:rPr>
        <w:t>)</w:t>
      </w:r>
      <w:r w:rsidRPr="00C21748">
        <w:rPr>
          <w:rFonts w:eastAsia="Times New Roman"/>
          <w:sz w:val="24"/>
          <w:szCs w:val="24"/>
          <w:lang w:val="en" w:eastAsia="cs-CZ"/>
        </w:rPr>
        <w:t>.</w:t>
      </w:r>
    </w:p>
    <w:p w:rsid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4"/>
          <w:szCs w:val="24"/>
          <w:lang w:val="en" w:eastAsia="cs-CZ"/>
        </w:rPr>
      </w:pP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sz w:val="24"/>
          <w:szCs w:val="24"/>
          <w:lang w:val="en" w:eastAsia="cs-CZ"/>
        </w:rPr>
      </w:pPr>
      <w:r>
        <w:rPr>
          <w:rFonts w:eastAsia="Times New Roman"/>
          <w:sz w:val="24"/>
          <w:szCs w:val="24"/>
          <w:lang w:val="en" w:eastAsia="cs-CZ"/>
        </w:rPr>
        <w:t xml:space="preserve">Categorization is on the decision </w:t>
      </w:r>
      <w:r w:rsidR="0061658C">
        <w:rPr>
          <w:rFonts w:eastAsia="Times New Roman"/>
          <w:sz w:val="24"/>
          <w:szCs w:val="24"/>
          <w:lang w:val="en" w:eastAsia="cs-CZ"/>
        </w:rPr>
        <w:t xml:space="preserve">of </w:t>
      </w:r>
      <w:r w:rsidRPr="00C21748">
        <w:rPr>
          <w:rFonts w:eastAsia="Times New Roman"/>
          <w:sz w:val="24"/>
          <w:szCs w:val="24"/>
          <w:lang w:val="en" w:eastAsia="cs-CZ"/>
        </w:rPr>
        <w:t>the attestation</w:t>
      </w:r>
      <w:r>
        <w:rPr>
          <w:rFonts w:eastAsia="Times New Roman"/>
          <w:sz w:val="24"/>
          <w:szCs w:val="24"/>
          <w:lang w:val="en" w:eastAsia="cs-CZ"/>
        </w:rPr>
        <w:t xml:space="preserve"> commission cooperating with individual department leaders as principal investigators of the research projects.</w:t>
      </w:r>
    </w:p>
    <w:p w:rsidR="00C21748" w:rsidRPr="00C21748" w:rsidRDefault="00C21748" w:rsidP="00C21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sz w:val="24"/>
          <w:szCs w:val="24"/>
          <w:lang w:val="cs-CZ" w:eastAsia="cs-CZ"/>
        </w:rPr>
      </w:pPr>
    </w:p>
    <w:p w:rsidR="00C21748" w:rsidRPr="00C21748" w:rsidRDefault="00C21748" w:rsidP="00C21748">
      <w:pPr>
        <w:pStyle w:val="FormtovanvHTML"/>
        <w:jc w:val="both"/>
        <w:rPr>
          <w:rStyle w:val="y2iqfc"/>
          <w:rFonts w:ascii="Arial" w:hAnsi="Arial" w:cs="Arial"/>
          <w:sz w:val="24"/>
          <w:szCs w:val="24"/>
          <w:lang w:val="en"/>
        </w:rPr>
      </w:pPr>
      <w:r w:rsidRPr="00C21748">
        <w:rPr>
          <w:rStyle w:val="y2iqfc"/>
          <w:rFonts w:ascii="Arial" w:hAnsi="Arial" w:cs="Arial"/>
          <w:sz w:val="24"/>
          <w:szCs w:val="24"/>
          <w:lang w:val="en"/>
        </w:rPr>
        <w:t>Other employees are classified according to the type of work activity</w:t>
      </w:r>
      <w:r>
        <w:rPr>
          <w:rStyle w:val="y2iqfc"/>
          <w:rFonts w:ascii="Arial" w:hAnsi="Arial" w:cs="Arial"/>
          <w:sz w:val="24"/>
          <w:szCs w:val="24"/>
          <w:lang w:val="en"/>
        </w:rPr>
        <w:t xml:space="preserve">, </w:t>
      </w:r>
      <w:r w:rsidR="0061658C">
        <w:rPr>
          <w:rStyle w:val="y2iqfc"/>
          <w:rFonts w:ascii="Arial" w:hAnsi="Arial" w:cs="Arial"/>
          <w:sz w:val="24"/>
          <w:szCs w:val="24"/>
          <w:lang w:val="en"/>
        </w:rPr>
        <w:t>education,</w:t>
      </w:r>
      <w:r>
        <w:rPr>
          <w:rStyle w:val="y2iqfc"/>
          <w:rFonts w:ascii="Arial" w:hAnsi="Arial" w:cs="Arial"/>
          <w:sz w:val="24"/>
          <w:szCs w:val="24"/>
          <w:lang w:val="en"/>
        </w:rPr>
        <w:t xml:space="preserve"> and </w:t>
      </w:r>
      <w:r w:rsidRPr="00C21748">
        <w:rPr>
          <w:rStyle w:val="y2iqfc"/>
          <w:rFonts w:ascii="Arial" w:hAnsi="Arial" w:cs="Arial"/>
          <w:sz w:val="24"/>
          <w:szCs w:val="24"/>
          <w:lang w:val="en"/>
        </w:rPr>
        <w:t>function</w:t>
      </w:r>
      <w:r>
        <w:rPr>
          <w:rStyle w:val="y2iqfc"/>
          <w:rFonts w:ascii="Arial" w:hAnsi="Arial" w:cs="Arial"/>
          <w:sz w:val="24"/>
          <w:szCs w:val="24"/>
          <w:lang w:val="en"/>
        </w:rPr>
        <w:t xml:space="preserve">. </w:t>
      </w:r>
      <w:r w:rsidR="0061658C">
        <w:rPr>
          <w:rStyle w:val="y2iqfc"/>
          <w:rFonts w:ascii="Arial" w:hAnsi="Arial" w:cs="Arial"/>
          <w:sz w:val="24"/>
          <w:szCs w:val="24"/>
          <w:lang w:val="en"/>
        </w:rPr>
        <w:t>The a</w:t>
      </w:r>
      <w:r>
        <w:rPr>
          <w:rStyle w:val="y2iqfc"/>
          <w:rFonts w:ascii="Arial" w:hAnsi="Arial" w:cs="Arial"/>
          <w:sz w:val="24"/>
          <w:szCs w:val="24"/>
          <w:lang w:val="en"/>
        </w:rPr>
        <w:t>ttestation commission also considers</w:t>
      </w:r>
      <w:r w:rsidRPr="00C21748">
        <w:rPr>
          <w:rStyle w:val="y2iqfc"/>
          <w:rFonts w:ascii="Arial" w:hAnsi="Arial" w:cs="Arial"/>
          <w:sz w:val="24"/>
          <w:szCs w:val="24"/>
          <w:lang w:val="en"/>
        </w:rPr>
        <w:t xml:space="preserve"> the complexity, responsibility</w:t>
      </w:r>
      <w:r w:rsidR="0061658C">
        <w:rPr>
          <w:rStyle w:val="y2iqfc"/>
          <w:rFonts w:ascii="Arial" w:hAnsi="Arial" w:cs="Arial"/>
          <w:sz w:val="24"/>
          <w:szCs w:val="24"/>
          <w:lang w:val="en"/>
        </w:rPr>
        <w:t>,</w:t>
      </w:r>
      <w:r w:rsidRPr="00C21748">
        <w:rPr>
          <w:rStyle w:val="y2iqfc"/>
          <w:rFonts w:ascii="Arial" w:hAnsi="Arial" w:cs="Arial"/>
          <w:sz w:val="24"/>
          <w:szCs w:val="24"/>
          <w:lang w:val="en"/>
        </w:rPr>
        <w:t xml:space="preserve"> and organizational complexity of the work</w:t>
      </w:r>
      <w:r>
        <w:rPr>
          <w:rStyle w:val="y2iqfc"/>
          <w:rFonts w:ascii="Arial" w:hAnsi="Arial" w:cs="Arial"/>
          <w:sz w:val="24"/>
          <w:szCs w:val="24"/>
          <w:lang w:val="en"/>
        </w:rPr>
        <w:t xml:space="preserve">. Classification is the following: </w:t>
      </w:r>
      <w:r w:rsidRPr="00C21748">
        <w:rPr>
          <w:rStyle w:val="y2iqfc"/>
          <w:rFonts w:ascii="Arial" w:hAnsi="Arial" w:cs="Arial"/>
          <w:sz w:val="24"/>
          <w:szCs w:val="24"/>
          <w:lang w:val="en"/>
        </w:rPr>
        <w:t xml:space="preserve"> </w:t>
      </w:r>
    </w:p>
    <w:p w:rsidR="007E7916" w:rsidRDefault="007E7916" w:rsidP="00C21748">
      <w:pPr>
        <w:pStyle w:val="FormtovanvHTML"/>
        <w:jc w:val="both"/>
        <w:rPr>
          <w:rStyle w:val="y2iqfc"/>
          <w:rFonts w:ascii="Arial" w:hAnsi="Arial" w:cs="Arial"/>
          <w:sz w:val="24"/>
          <w:szCs w:val="24"/>
          <w:lang w:val="en"/>
        </w:rPr>
      </w:pPr>
    </w:p>
    <w:p w:rsidR="00B50FDD" w:rsidRDefault="00925974">
      <w:pPr>
        <w:pStyle w:val="Zkladntext"/>
        <w:spacing w:before="9"/>
        <w:rPr>
          <w:b/>
        </w:rPr>
      </w:pPr>
      <w:r>
        <w:rPr>
          <w:b/>
        </w:rPr>
        <w:t>Classification of working categories</w:t>
      </w:r>
    </w:p>
    <w:p w:rsidR="00925974" w:rsidRPr="00C21748" w:rsidRDefault="00925974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7"/>
      </w:tblGrid>
      <w:tr w:rsidR="00B50FDD" w:rsidRPr="00C21748">
        <w:trPr>
          <w:trHeight w:hRule="exact" w:val="564"/>
        </w:trPr>
        <w:tc>
          <w:tcPr>
            <w:tcW w:w="4532" w:type="dxa"/>
          </w:tcPr>
          <w:p w:rsidR="007E7916" w:rsidRPr="007E7916" w:rsidRDefault="007E7916" w:rsidP="007E7916">
            <w:pPr>
              <w:pStyle w:val="FormtovanvHTML"/>
              <w:rPr>
                <w:rFonts w:ascii="Arial" w:hAnsi="Arial" w:cs="Arial"/>
                <w:b/>
                <w:sz w:val="24"/>
                <w:szCs w:val="24"/>
              </w:rPr>
            </w:pPr>
            <w:r w:rsidRPr="007E7916">
              <w:rPr>
                <w:rStyle w:val="y2iqfc"/>
                <w:rFonts w:ascii="Arial" w:hAnsi="Arial" w:cs="Arial"/>
                <w:b/>
                <w:sz w:val="24"/>
                <w:szCs w:val="24"/>
                <w:lang w:val="en"/>
              </w:rPr>
              <w:t>Professional classification of researcher</w:t>
            </w:r>
            <w:r>
              <w:rPr>
                <w:rStyle w:val="y2iqfc"/>
                <w:rFonts w:ascii="Arial" w:hAnsi="Arial" w:cs="Arial"/>
                <w:b/>
                <w:sz w:val="24"/>
                <w:szCs w:val="24"/>
                <w:lang w:val="en"/>
              </w:rPr>
              <w:t xml:space="preserve"> scientists</w:t>
            </w:r>
          </w:p>
          <w:p w:rsidR="00B50FDD" w:rsidRPr="00C21748" w:rsidRDefault="00B50FDD" w:rsidP="007E7916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spacing w:line="240" w:lineRule="auto"/>
              <w:ind w:left="103" w:right="26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 equivalent</w:t>
            </w:r>
          </w:p>
        </w:tc>
      </w:tr>
      <w:tr w:rsidR="00B50FDD" w:rsidRPr="00C21748">
        <w:trPr>
          <w:trHeight w:hRule="exact" w:val="286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V1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R1</w:t>
            </w:r>
            <w:proofErr w:type="spellEnd"/>
          </w:p>
        </w:tc>
      </w:tr>
      <w:tr w:rsidR="00B50FDD" w:rsidRPr="00C21748">
        <w:trPr>
          <w:trHeight w:hRule="exact" w:val="286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V2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R1</w:t>
            </w:r>
            <w:proofErr w:type="spellEnd"/>
          </w:p>
        </w:tc>
      </w:tr>
      <w:tr w:rsidR="00B50FDD" w:rsidRPr="00C21748">
        <w:trPr>
          <w:trHeight w:hRule="exact" w:val="286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V3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R1</w:t>
            </w:r>
            <w:proofErr w:type="spellEnd"/>
          </w:p>
        </w:tc>
      </w:tr>
      <w:tr w:rsidR="00B50FDD" w:rsidRPr="00C21748">
        <w:trPr>
          <w:trHeight w:hRule="exact" w:val="286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V4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R2</w:t>
            </w:r>
            <w:proofErr w:type="spellEnd"/>
          </w:p>
        </w:tc>
      </w:tr>
      <w:tr w:rsidR="00B50FDD" w:rsidRPr="00C21748">
        <w:trPr>
          <w:trHeight w:hRule="exact" w:val="286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V5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R3</w:t>
            </w:r>
            <w:proofErr w:type="spellEnd"/>
          </w:p>
        </w:tc>
      </w:tr>
      <w:tr w:rsidR="00B50FDD" w:rsidRPr="00C21748">
        <w:trPr>
          <w:trHeight w:hRule="exact" w:val="288"/>
        </w:trPr>
        <w:tc>
          <w:tcPr>
            <w:tcW w:w="4532" w:type="dxa"/>
          </w:tcPr>
          <w:p w:rsidR="00B50FDD" w:rsidRPr="00C21748" w:rsidRDefault="00925974">
            <w:pPr>
              <w:pStyle w:val="TableParagraph"/>
              <w:ind w:right="2009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V6</w:t>
            </w:r>
            <w:proofErr w:type="spellEnd"/>
          </w:p>
        </w:tc>
        <w:tc>
          <w:tcPr>
            <w:tcW w:w="4537" w:type="dxa"/>
          </w:tcPr>
          <w:p w:rsidR="00B50FDD" w:rsidRPr="00C21748" w:rsidRDefault="007E7916">
            <w:pPr>
              <w:pStyle w:val="TableParagraph"/>
              <w:ind w:left="18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R4</w:t>
            </w:r>
            <w:proofErr w:type="spellEnd"/>
          </w:p>
        </w:tc>
      </w:tr>
    </w:tbl>
    <w:p w:rsidR="00B50FDD" w:rsidRPr="00C21748" w:rsidRDefault="00B50FDD">
      <w:pPr>
        <w:pStyle w:val="Zkladntext"/>
        <w:rPr>
          <w:b/>
        </w:rPr>
      </w:pPr>
    </w:p>
    <w:p w:rsidR="00B50FDD" w:rsidRPr="00C21748" w:rsidRDefault="00B50FDD">
      <w:pPr>
        <w:pStyle w:val="Zkladntext"/>
        <w:spacing w:before="7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4360"/>
      </w:tblGrid>
      <w:tr w:rsidR="00B50FDD" w:rsidRPr="00C21748" w:rsidTr="007E7916">
        <w:trPr>
          <w:trHeight w:hRule="exact" w:val="564"/>
        </w:trPr>
        <w:tc>
          <w:tcPr>
            <w:tcW w:w="4709" w:type="dxa"/>
          </w:tcPr>
          <w:p w:rsidR="00B50FDD" w:rsidRPr="00C21748" w:rsidRDefault="007E7916">
            <w:pPr>
              <w:pStyle w:val="TableParagraph"/>
              <w:spacing w:line="240" w:lineRule="auto"/>
              <w:ind w:left="105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employees</w:t>
            </w:r>
          </w:p>
        </w:tc>
        <w:tc>
          <w:tcPr>
            <w:tcW w:w="4360" w:type="dxa"/>
          </w:tcPr>
          <w:p w:rsidR="00B50FDD" w:rsidRPr="00C21748" w:rsidRDefault="007E7916">
            <w:pPr>
              <w:pStyle w:val="TableParagraph"/>
              <w:spacing w:line="240" w:lineRule="auto"/>
              <w:ind w:left="103" w:right="26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O1</w:t>
            </w:r>
            <w:proofErr w:type="spellEnd"/>
          </w:p>
        </w:tc>
        <w:tc>
          <w:tcPr>
            <w:tcW w:w="4360" w:type="dxa"/>
          </w:tcPr>
          <w:p w:rsidR="00B50FDD" w:rsidRPr="00C21748" w:rsidRDefault="00DD282C" w:rsidP="00DD282C">
            <w:pPr>
              <w:pStyle w:val="TableParagraph"/>
              <w:ind w:left="-284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gatekeeper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O2</w:t>
            </w:r>
            <w:proofErr w:type="spellEnd"/>
          </w:p>
        </w:tc>
        <w:tc>
          <w:tcPr>
            <w:tcW w:w="4360" w:type="dxa"/>
          </w:tcPr>
          <w:p w:rsidR="00B50FDD" w:rsidRPr="00C21748" w:rsidRDefault="00DD282C" w:rsidP="00DD282C">
            <w:pPr>
              <w:pStyle w:val="TableParagraph"/>
              <w:ind w:left="1417" w:right="816" w:hanging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gatekeeper</w:t>
            </w:r>
            <w:r w:rsidR="006165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washer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O3</w:t>
            </w:r>
            <w:proofErr w:type="spellEnd"/>
          </w:p>
        </w:tc>
        <w:tc>
          <w:tcPr>
            <w:tcW w:w="4360" w:type="dxa"/>
          </w:tcPr>
          <w:p w:rsidR="00B50FDD" w:rsidRPr="00C21748" w:rsidRDefault="00925974" w:rsidP="00925974">
            <w:pPr>
              <w:pStyle w:val="TableParagraph"/>
              <w:ind w:left="850" w:right="1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in catering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O4</w:t>
            </w:r>
            <w:proofErr w:type="spellEnd"/>
          </w:p>
        </w:tc>
        <w:tc>
          <w:tcPr>
            <w:tcW w:w="4360" w:type="dxa"/>
          </w:tcPr>
          <w:p w:rsidR="00B50FDD" w:rsidRPr="00C21748" w:rsidRDefault="0061658C" w:rsidP="00925974">
            <w:pPr>
              <w:pStyle w:val="TableParagraph"/>
              <w:ind w:left="42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925974">
              <w:rPr>
                <w:sz w:val="24"/>
                <w:szCs w:val="24"/>
              </w:rPr>
              <w:t>staff of technical service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O5</w:t>
            </w:r>
            <w:proofErr w:type="spellEnd"/>
          </w:p>
        </w:tc>
        <w:tc>
          <w:tcPr>
            <w:tcW w:w="4360" w:type="dxa"/>
          </w:tcPr>
          <w:p w:rsidR="00B50FDD" w:rsidRPr="00C21748" w:rsidRDefault="0061658C" w:rsidP="00925974">
            <w:pPr>
              <w:pStyle w:val="TableParagraph"/>
              <w:ind w:left="42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925974">
              <w:rPr>
                <w:sz w:val="24"/>
                <w:szCs w:val="24"/>
              </w:rPr>
              <w:t>staff of technical service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O6</w:t>
            </w:r>
            <w:proofErr w:type="spellEnd"/>
          </w:p>
        </w:tc>
        <w:tc>
          <w:tcPr>
            <w:tcW w:w="4360" w:type="dxa"/>
          </w:tcPr>
          <w:p w:rsidR="00B50FDD" w:rsidRPr="00C21748" w:rsidRDefault="00925974" w:rsidP="00925974">
            <w:pPr>
              <w:pStyle w:val="TableParagraph"/>
              <w:ind w:left="567" w:right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staff in </w:t>
            </w:r>
            <w:r w:rsidR="0061658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garden </w:t>
            </w:r>
          </w:p>
        </w:tc>
      </w:tr>
      <w:tr w:rsidR="00B50FDD" w:rsidRPr="00C21748" w:rsidTr="007E7916">
        <w:trPr>
          <w:trHeight w:hRule="exact" w:val="288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spacing w:line="240" w:lineRule="auto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O7</w:t>
            </w:r>
            <w:proofErr w:type="spellEnd"/>
          </w:p>
        </w:tc>
        <w:tc>
          <w:tcPr>
            <w:tcW w:w="4360" w:type="dxa"/>
          </w:tcPr>
          <w:p w:rsidR="00B50FDD" w:rsidRPr="00C21748" w:rsidRDefault="00925974" w:rsidP="00925974">
            <w:pPr>
              <w:pStyle w:val="TableParagraph"/>
              <w:spacing w:line="240" w:lineRule="auto"/>
              <w:ind w:left="283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secretary, laboratory staff, etc.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spacing w:line="275" w:lineRule="exact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O8</w:t>
            </w:r>
            <w:proofErr w:type="spellEnd"/>
          </w:p>
        </w:tc>
        <w:tc>
          <w:tcPr>
            <w:tcW w:w="4360" w:type="dxa"/>
          </w:tcPr>
          <w:p w:rsidR="00B50FDD" w:rsidRPr="00C21748" w:rsidRDefault="00925974" w:rsidP="00925974">
            <w:pPr>
              <w:pStyle w:val="TableParagraph"/>
              <w:spacing w:line="275" w:lineRule="exact"/>
              <w:ind w:left="-142" w:right="-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secretary, laboratory staff, etc.</w:t>
            </w:r>
          </w:p>
        </w:tc>
      </w:tr>
      <w:tr w:rsidR="00B50FDD" w:rsidRPr="00C21748" w:rsidTr="007E7916">
        <w:trPr>
          <w:trHeight w:hRule="exact" w:val="286"/>
        </w:trPr>
        <w:tc>
          <w:tcPr>
            <w:tcW w:w="4709" w:type="dxa"/>
          </w:tcPr>
          <w:p w:rsidR="00B50FDD" w:rsidRPr="00C21748" w:rsidRDefault="00925974">
            <w:pPr>
              <w:pStyle w:val="TableParagraph"/>
              <w:ind w:right="2012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O9</w:t>
            </w:r>
            <w:proofErr w:type="spellEnd"/>
          </w:p>
        </w:tc>
        <w:tc>
          <w:tcPr>
            <w:tcW w:w="4360" w:type="dxa"/>
          </w:tcPr>
          <w:p w:rsidR="00B50FDD" w:rsidRPr="00C21748" w:rsidRDefault="00925974" w:rsidP="00925974">
            <w:pPr>
              <w:pStyle w:val="TableParagraph"/>
              <w:ind w:left="142" w:right="-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staff, director assistant, etc.</w:t>
            </w:r>
          </w:p>
        </w:tc>
      </w:tr>
      <w:tr w:rsidR="00925974" w:rsidRPr="00C21748" w:rsidTr="007E7916">
        <w:trPr>
          <w:trHeight w:hRule="exact" w:val="286"/>
        </w:trPr>
        <w:tc>
          <w:tcPr>
            <w:tcW w:w="4709" w:type="dxa"/>
          </w:tcPr>
          <w:p w:rsidR="00925974" w:rsidRPr="00C21748" w:rsidRDefault="00925974" w:rsidP="00925974">
            <w:pPr>
              <w:pStyle w:val="TableParagraph"/>
              <w:ind w:right="2013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O10</w:t>
            </w:r>
            <w:proofErr w:type="spellEnd"/>
          </w:p>
        </w:tc>
        <w:tc>
          <w:tcPr>
            <w:tcW w:w="4360" w:type="dxa"/>
          </w:tcPr>
          <w:p w:rsidR="00925974" w:rsidRPr="00C21748" w:rsidRDefault="00925974" w:rsidP="00925974">
            <w:pPr>
              <w:pStyle w:val="TableParagraph"/>
              <w:ind w:left="142" w:right="-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staff, leading manager</w:t>
            </w:r>
          </w:p>
        </w:tc>
      </w:tr>
      <w:tr w:rsidR="00925974" w:rsidRPr="00C21748" w:rsidTr="007E7916">
        <w:trPr>
          <w:trHeight w:hRule="exact" w:val="286"/>
        </w:trPr>
        <w:tc>
          <w:tcPr>
            <w:tcW w:w="4709" w:type="dxa"/>
          </w:tcPr>
          <w:p w:rsidR="00925974" w:rsidRPr="00C21748" w:rsidRDefault="00925974" w:rsidP="00925974">
            <w:pPr>
              <w:pStyle w:val="TableParagraph"/>
              <w:ind w:right="2013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O11</w:t>
            </w:r>
            <w:proofErr w:type="spellEnd"/>
          </w:p>
        </w:tc>
        <w:tc>
          <w:tcPr>
            <w:tcW w:w="4360" w:type="dxa"/>
          </w:tcPr>
          <w:p w:rsidR="00925974" w:rsidRPr="00C21748" w:rsidRDefault="00925974" w:rsidP="00925974">
            <w:pPr>
              <w:pStyle w:val="TableParagraph"/>
              <w:ind w:left="0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manager, project manager, etc.</w:t>
            </w:r>
          </w:p>
        </w:tc>
      </w:tr>
      <w:tr w:rsidR="00925974" w:rsidRPr="00C21748" w:rsidTr="007E7916">
        <w:trPr>
          <w:trHeight w:hRule="exact" w:val="286"/>
        </w:trPr>
        <w:tc>
          <w:tcPr>
            <w:tcW w:w="4709" w:type="dxa"/>
          </w:tcPr>
          <w:p w:rsidR="00925974" w:rsidRPr="00C21748" w:rsidRDefault="00925974" w:rsidP="00925974">
            <w:pPr>
              <w:pStyle w:val="TableParagraph"/>
              <w:ind w:right="2013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O12</w:t>
            </w:r>
            <w:proofErr w:type="spellEnd"/>
          </w:p>
        </w:tc>
        <w:tc>
          <w:tcPr>
            <w:tcW w:w="4360" w:type="dxa"/>
          </w:tcPr>
          <w:p w:rsidR="00925974" w:rsidRPr="00C21748" w:rsidRDefault="00925974" w:rsidP="00925974">
            <w:pPr>
              <w:pStyle w:val="TableParagraph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manager, project manager, etc.</w:t>
            </w:r>
          </w:p>
        </w:tc>
      </w:tr>
      <w:tr w:rsidR="00925974" w:rsidRPr="00C21748" w:rsidTr="007E7916">
        <w:trPr>
          <w:trHeight w:hRule="exact" w:val="288"/>
        </w:trPr>
        <w:tc>
          <w:tcPr>
            <w:tcW w:w="4709" w:type="dxa"/>
          </w:tcPr>
          <w:p w:rsidR="00925974" w:rsidRPr="00C21748" w:rsidRDefault="00925974" w:rsidP="00925974">
            <w:pPr>
              <w:pStyle w:val="TableParagraph"/>
              <w:spacing w:line="240" w:lineRule="auto"/>
              <w:ind w:right="2013"/>
              <w:rPr>
                <w:sz w:val="24"/>
                <w:szCs w:val="24"/>
              </w:rPr>
            </w:pPr>
            <w:proofErr w:type="spellStart"/>
            <w:r w:rsidRPr="00C21748">
              <w:rPr>
                <w:sz w:val="24"/>
                <w:szCs w:val="24"/>
              </w:rPr>
              <w:t>O13</w:t>
            </w:r>
            <w:proofErr w:type="spellEnd"/>
          </w:p>
        </w:tc>
        <w:tc>
          <w:tcPr>
            <w:tcW w:w="4360" w:type="dxa"/>
          </w:tcPr>
          <w:p w:rsidR="00925974" w:rsidRPr="00C21748" w:rsidRDefault="0061658C" w:rsidP="00925974">
            <w:pPr>
              <w:pStyle w:val="TableParagraph"/>
              <w:spacing w:line="240" w:lineRule="auto"/>
              <w:ind w:left="-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25974">
              <w:rPr>
                <w:sz w:val="24"/>
                <w:szCs w:val="24"/>
              </w:rPr>
              <w:t xml:space="preserve">anager for int. support of science </w:t>
            </w:r>
          </w:p>
        </w:tc>
      </w:tr>
    </w:tbl>
    <w:p w:rsidR="00B50FDD" w:rsidRPr="00C21748" w:rsidRDefault="00B50FDD">
      <w:pPr>
        <w:pStyle w:val="Zkladntext"/>
        <w:rPr>
          <w:b/>
        </w:rPr>
      </w:pPr>
    </w:p>
    <w:sectPr w:rsidR="00B50FDD" w:rsidRPr="00C2174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73C"/>
    <w:multiLevelType w:val="hybridMultilevel"/>
    <w:tmpl w:val="6136C114"/>
    <w:lvl w:ilvl="0" w:tplc="908E065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972E5F4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69623D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DE2BA3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C5CF5E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6BD64BE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452A50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3FED81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21C42D2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zO2sDAxN7ewNDVU0lEKTi0uzszPAykwrgUAbJw6FiwAAAA="/>
  </w:docVars>
  <w:rsids>
    <w:rsidRoot w:val="00B50FDD"/>
    <w:rsid w:val="003147B1"/>
    <w:rsid w:val="0061658C"/>
    <w:rsid w:val="007E7916"/>
    <w:rsid w:val="00925974"/>
    <w:rsid w:val="00B50FDD"/>
    <w:rsid w:val="00C21748"/>
    <w:rsid w:val="00D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1B9AF67-3ECC-4DB3-96B4-8CEB3EBF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36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0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line="274" w:lineRule="exact"/>
      <w:ind w:left="2015" w:right="1875"/>
      <w:jc w:val="center"/>
    </w:pPr>
  </w:style>
  <w:style w:type="paragraph" w:styleId="FormtovanvHTML">
    <w:name w:val="HTML Preformatted"/>
    <w:basedOn w:val="Normln"/>
    <w:link w:val="FormtovanvHTMLChar"/>
    <w:uiPriority w:val="99"/>
    <w:unhideWhenUsed/>
    <w:rsid w:val="00C21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1748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C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BFÚ AV ČR, v.v.i.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5</cp:revision>
  <cp:lastPrinted>2021-09-02T08:07:00Z</cp:lastPrinted>
  <dcterms:created xsi:type="dcterms:W3CDTF">2021-08-31T11:39:00Z</dcterms:created>
  <dcterms:modified xsi:type="dcterms:W3CDTF">2021-09-02T08:09:00Z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